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1F3864" w:sz="8" w:space="6"/>
        </w:pBdr>
        <w:spacing w:after="220" w:before="240"/>
      </w:pPr>
      <w:r>
        <w:rPr>
          <w:b/>
          <w:bCs/>
          <w:color w:val="1F3864"/>
          <w:sz w:val="32"/>
          <w:szCs w:val="32"/>
        </w:rPr>
        <w:t xml:space="preserve">Test Strategy Document Template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Document Control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3777"/>
        <w:gridCol w:w="5969"/>
      </w:tblGrid>
      <w:tr>
        <w:trPr>
          <w:tblHeader/>
        </w:trPr>
        <w:tc>
          <w:tcPr>
            <w:tcW w:type="dxa" w:w="377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Field</w:t>
            </w:r>
          </w:p>
        </w:tc>
        <w:tc>
          <w:tcPr>
            <w:tcW w:type="dxa" w:w="596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Value</w:t>
            </w:r>
          </w:p>
        </w:tc>
      </w:tr>
      <w:tr>
        <w:tc>
          <w:tcPr>
            <w:tcW w:type="dxa" w:w="37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Document title</w:t>
            </w:r>
          </w:p>
        </w:tc>
        <w:tc>
          <w:tcPr>
            <w:tcW w:type="dxa" w:w="59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Test Strategy — </w:t>
            </w: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[Product / Programme name]</w:t>
            </w:r>
          </w:p>
        </w:tc>
      </w:tr>
      <w:tr>
        <w:tc>
          <w:tcPr>
            <w:tcW w:type="dxa" w:w="377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Version</w:t>
            </w:r>
          </w:p>
        </w:tc>
        <w:tc>
          <w:tcPr>
            <w:tcW w:type="dxa" w:w="596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[0.1]</w:t>
            </w:r>
          </w:p>
        </w:tc>
      </w:tr>
      <w:tr>
        <w:tc>
          <w:tcPr>
            <w:tcW w:type="dxa" w:w="37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Status</w:t>
            </w:r>
          </w:p>
        </w:tc>
        <w:tc>
          <w:tcPr>
            <w:tcW w:type="dxa" w:w="59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Draft / In review / Approved</w:t>
            </w:r>
          </w:p>
        </w:tc>
      </w:tr>
      <w:tr>
        <w:tc>
          <w:tcPr>
            <w:tcW w:type="dxa" w:w="377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Author</w:t>
            </w:r>
          </w:p>
        </w:tc>
        <w:tc>
          <w:tcPr>
            <w:tcW w:type="dxa" w:w="596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[Name, role]</w:t>
            </w:r>
          </w:p>
        </w:tc>
      </w:tr>
      <w:tr>
        <w:tc>
          <w:tcPr>
            <w:tcW w:type="dxa" w:w="37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Owner</w:t>
            </w:r>
          </w:p>
        </w:tc>
        <w:tc>
          <w:tcPr>
            <w:tcW w:type="dxa" w:w="59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[QA Lead / Test Manager]</w:t>
            </w:r>
          </w:p>
        </w:tc>
      </w:tr>
      <w:tr>
        <w:tc>
          <w:tcPr>
            <w:tcW w:type="dxa" w:w="377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Approvers</w:t>
            </w:r>
          </w:p>
        </w:tc>
        <w:tc>
          <w:tcPr>
            <w:tcW w:type="dxa" w:w="596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[Names, roles]</w:t>
            </w:r>
          </w:p>
        </w:tc>
      </w:tr>
      <w:tr>
        <w:tc>
          <w:tcPr>
            <w:tcW w:type="dxa" w:w="37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Last updated</w:t>
            </w:r>
          </w:p>
        </w:tc>
        <w:tc>
          <w:tcPr>
            <w:tcW w:type="dxa" w:w="59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[DD-MMM-YYYY]</w:t>
            </w:r>
          </w:p>
        </w:tc>
      </w:tr>
    </w:tbl>
    <w:p>
      <w:pPr>
        <w:spacing w:after="200"/>
      </w:pPr>
    </w:p>
    <w:p>
      <w:pPr>
        <w:pStyle w:val="Heading3"/>
        <w:keepNext/>
        <w:spacing w:after="100" w:before="220"/>
      </w:pPr>
      <w:r>
        <w:rPr>
          <w:b/>
          <w:bCs/>
          <w:color w:val="2F5496"/>
          <w:sz w:val="22"/>
          <w:szCs w:val="22"/>
        </w:rPr>
        <w:t xml:space="preserve">Revision history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284"/>
        <w:gridCol w:w="1755"/>
        <w:gridCol w:w="1885"/>
        <w:gridCol w:w="3822"/>
      </w:tblGrid>
      <w:tr>
        <w:trPr>
          <w:tblHeader/>
        </w:trPr>
        <w:tc>
          <w:tcPr>
            <w:tcW w:type="dxa" w:w="2284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Version</w:t>
            </w:r>
          </w:p>
        </w:tc>
        <w:tc>
          <w:tcPr>
            <w:tcW w:type="dxa" w:w="175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Date</w:t>
            </w:r>
          </w:p>
        </w:tc>
        <w:tc>
          <w:tcPr>
            <w:tcW w:type="dxa" w:w="188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Author</w:t>
            </w:r>
          </w:p>
        </w:tc>
        <w:tc>
          <w:tcPr>
            <w:tcW w:type="dxa" w:w="3822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Summary of change</w:t>
            </w:r>
          </w:p>
        </w:tc>
      </w:tr>
      <w:tr>
        <w:tc>
          <w:tcPr>
            <w:tcW w:type="dxa" w:w="22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0.1</w:t>
            </w:r>
          </w:p>
        </w:tc>
        <w:tc>
          <w:tcPr>
            <w:tcW w:type="dxa" w:w="17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8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8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Initial draft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1. Purpose and Scope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1.1 Purpose</w:t>
      </w:r>
      <w:r>
        <w:rPr>
          <w:sz w:val="21"/>
          <w:szCs w:val="21"/>
        </w:rPr>
        <w:t xml:space="preserve"> — State why this document exists and who it is for. A strategy describes the </w:t>
      </w:r>
      <w:r>
        <w:rPr>
          <w:i/>
          <w:iCs/>
          <w:sz w:val="21"/>
          <w:szCs w:val="21"/>
        </w:rPr>
        <w:t xml:space="preserve">approach</w:t>
      </w:r>
      <w:r>
        <w:rPr>
          <w:sz w:val="21"/>
          <w:szCs w:val="21"/>
        </w:rPr>
        <w:t xml:space="preserve"> to testing across the product or programme; it is not a per-release test plan.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1.2 Scope in</w:t>
      </w:r>
      <w:r>
        <w:rPr>
          <w:sz w:val="21"/>
          <w:szCs w:val="21"/>
        </w:rPr>
        <w:t xml:space="preserve"> — Applications, services, interfaces, platforms, and environments covered.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1.3 Scope out</w:t>
      </w:r>
      <w:r>
        <w:rPr>
          <w:sz w:val="21"/>
          <w:szCs w:val="21"/>
        </w:rPr>
        <w:t xml:space="preserve"> — Explicitly list what this strategy does not cover, and who owns it instead (e.g. third-party payment gateway internals, corporate SSO, data-centre DR drills).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1.4 Related documents</w:t>
      </w:r>
      <w:r>
        <w:rPr>
          <w:sz w:val="21"/>
          <w:szCs w:val="21"/>
        </w:rPr>
        <w:t xml:space="preserve"> — Requirements source, architecture overview, release plan, non-functional requirements, security policy, DoD/DoR.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2. Context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2.1 Product overview</w:t>
      </w:r>
      <w:r>
        <w:rPr>
          <w:sz w:val="21"/>
          <w:szCs w:val="21"/>
        </w:rPr>
        <w:t xml:space="preserve"> — Two or three paragraphs on what the system does and who uses it.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2.2 Architecture summary</w:t>
      </w:r>
      <w:r>
        <w:rPr>
          <w:sz w:val="21"/>
          <w:szCs w:val="21"/>
        </w:rPr>
        <w:t xml:space="preserve"> — Components, integration points, data stores, third parties. A simple diagram helps.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2.3 Delivery model</w:t>
      </w:r>
      <w:r>
        <w:rPr>
          <w:sz w:val="21"/>
          <w:szCs w:val="21"/>
        </w:rPr>
        <w:t xml:space="preserve"> — Waterfall / V-model / Scrum / Kanban / SAFe. Cadence, team structure, release frequency.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2.4 Key business drivers</w:t>
      </w:r>
      <w:r>
        <w:rPr>
          <w:sz w:val="21"/>
          <w:szCs w:val="21"/>
        </w:rPr>
        <w:t xml:space="preserve"> — What the organisation is optimising for (time to market, regulatory compliance, cost, reliability). These drive the trade-offs made below.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3. Quality Objectives</w:t>
      </w:r>
    </w:p>
    <w:p>
      <w:pPr>
        <w:spacing w:after="120" w:before="60" w:line="280"/>
      </w:pPr>
      <w:r>
        <w:rPr>
          <w:sz w:val="21"/>
          <w:szCs w:val="21"/>
        </w:rPr>
        <w:t xml:space="preserve">List measurable objectives, not aspirations.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242"/>
        <w:gridCol w:w="2613"/>
        <w:gridCol w:w="2482"/>
        <w:gridCol w:w="2409"/>
      </w:tblGrid>
      <w:tr>
        <w:trPr>
          <w:tblHeader/>
        </w:trPr>
        <w:tc>
          <w:tcPr>
            <w:tcW w:type="dxa" w:w="2242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#</w:t>
            </w:r>
          </w:p>
        </w:tc>
        <w:tc>
          <w:tcPr>
            <w:tcW w:type="dxa" w:w="2613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Objective</w:t>
            </w:r>
          </w:p>
        </w:tc>
        <w:tc>
          <w:tcPr>
            <w:tcW w:type="dxa" w:w="2482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Measure</w:t>
            </w:r>
          </w:p>
        </w:tc>
        <w:tc>
          <w:tcPr>
            <w:tcW w:type="dxa" w:w="240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Target</w:t>
            </w:r>
          </w:p>
        </w:tc>
      </w:tr>
      <w:tr>
        <w:tc>
          <w:tcPr>
            <w:tcW w:type="dxa" w:w="22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6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42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2613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82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sz w:val="21"/>
          <w:szCs w:val="21"/>
        </w:rPr>
        <w:t xml:space="preserve">Examples: escaped defect rate, critical production incidents per quarter, mean time to detect, automated regression coverage of critical paths, cycle time from code complete to release-ready.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4. Test Approach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4.1 Test levels</w:t>
      </w:r>
      <w:r>
        <w:rPr>
          <w:sz w:val="21"/>
          <w:szCs w:val="21"/>
        </w:rPr>
        <w:t xml:space="preserve"> — Define what is tested at each level, by whom, and against what.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963"/>
        <w:gridCol w:w="1488"/>
        <w:gridCol w:w="2169"/>
        <w:gridCol w:w="1637"/>
        <w:gridCol w:w="1489"/>
      </w:tblGrid>
      <w:tr>
        <w:trPr>
          <w:tblHeader/>
        </w:trPr>
        <w:tc>
          <w:tcPr>
            <w:tcW w:type="dxa" w:w="2963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Level</w:t>
            </w:r>
          </w:p>
        </w:tc>
        <w:tc>
          <w:tcPr>
            <w:tcW w:type="dxa" w:w="148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Purpose</w:t>
            </w:r>
          </w:p>
        </w:tc>
        <w:tc>
          <w:tcPr>
            <w:tcW w:type="dxa" w:w="216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Owner</w:t>
            </w:r>
          </w:p>
        </w:tc>
        <w:tc>
          <w:tcPr>
            <w:tcW w:type="dxa" w:w="163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Entry basis</w:t>
            </w:r>
          </w:p>
        </w:tc>
        <w:tc>
          <w:tcPr>
            <w:tcW w:type="dxa" w:w="148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Tooling</w:t>
            </w:r>
          </w:p>
        </w:tc>
      </w:tr>
      <w:tr>
        <w:tc>
          <w:tcPr>
            <w:tcW w:type="dxa" w:w="29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Unit</w:t>
            </w:r>
          </w:p>
        </w:tc>
        <w:tc>
          <w:tcPr>
            <w:tcW w:type="dxa" w:w="14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Developers</w:t>
            </w:r>
          </w:p>
        </w:tc>
        <w:tc>
          <w:tcPr>
            <w:tcW w:type="dxa" w:w="16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63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Component / Integration</w:t>
            </w:r>
          </w:p>
        </w:tc>
        <w:tc>
          <w:tcPr>
            <w:tcW w:type="dxa" w:w="148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Developers / QA</w:t>
            </w:r>
          </w:p>
        </w:tc>
        <w:tc>
          <w:tcPr>
            <w:tcW w:type="dxa" w:w="163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API / Contract</w:t>
            </w:r>
          </w:p>
        </w:tc>
        <w:tc>
          <w:tcPr>
            <w:tcW w:type="dxa" w:w="14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63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System / End-to-end</w:t>
            </w:r>
          </w:p>
        </w:tc>
        <w:tc>
          <w:tcPr>
            <w:tcW w:type="dxa" w:w="148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3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User acceptance</w:t>
            </w:r>
          </w:p>
        </w:tc>
        <w:tc>
          <w:tcPr>
            <w:tcW w:type="dxa" w:w="14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Business</w:t>
            </w:r>
          </w:p>
        </w:tc>
        <w:tc>
          <w:tcPr>
            <w:tcW w:type="dxa" w:w="16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4.2 Test types</w:t>
      </w:r>
      <w:r>
        <w:rPr>
          <w:sz w:val="21"/>
          <w:szCs w:val="21"/>
        </w:rPr>
        <w:t xml:space="preserve"> — Functional, regression, smoke, exploratory, performance, security, accessibility, compatibility, localisation, data migration, operability/observability, disaster recovery.</w:t>
      </w:r>
    </w:p>
    <w:p>
      <w:pPr>
        <w:spacing w:after="120" w:before="60" w:line="280"/>
      </w:pPr>
      <w:r>
        <w:rPr>
          <w:sz w:val="21"/>
          <w:szCs w:val="21"/>
        </w:rPr>
        <w:t xml:space="preserve">For each type in scope, state: when it runs, who runs it, what triggers it, and the pass criteria.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4.3 Test design techniques</w:t>
      </w:r>
      <w:r>
        <w:rPr>
          <w:sz w:val="21"/>
          <w:szCs w:val="21"/>
        </w:rPr>
        <w:t xml:space="preserve"> — Equivalence partitioning, boundary value analysis, decision tables, state transition, pairwise, risk-based charters, error guessing. Note where each is expected to be applied.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4.4 Out-of-scope test types</w:t>
      </w:r>
      <w:r>
        <w:rPr>
          <w:sz w:val="21"/>
          <w:szCs w:val="21"/>
        </w:rPr>
        <w:t xml:space="preserve"> — State them and give the rationale, so it reads as a decision rather than an omission.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5. Risk-Based Prioritisation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5.1 Risk assessment method</w:t>
      </w:r>
      <w:r>
        <w:rPr>
          <w:sz w:val="21"/>
          <w:szCs w:val="21"/>
        </w:rPr>
        <w:t xml:space="preserve"> — e.g. Likelihood (1–5) × Impact (1–5) = Risk score; scores drive depth of testing.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5.2 Product risk register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1140"/>
        <w:gridCol w:w="1140"/>
        <w:gridCol w:w="1581"/>
        <w:gridCol w:w="1225"/>
        <w:gridCol w:w="1184"/>
        <w:gridCol w:w="2291"/>
        <w:gridCol w:w="1185"/>
      </w:tblGrid>
      <w:tr>
        <w:trPr>
          <w:tblHeader/>
        </w:trPr>
        <w:tc>
          <w:tcPr>
            <w:tcW w:type="dxa" w:w="114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ID</w:t>
            </w:r>
          </w:p>
        </w:tc>
        <w:tc>
          <w:tcPr>
            <w:tcW w:type="dxa" w:w="114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Risk</w:t>
            </w:r>
          </w:p>
        </w:tc>
        <w:tc>
          <w:tcPr>
            <w:tcW w:type="dxa" w:w="158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Likelihood</w:t>
            </w:r>
          </w:p>
        </w:tc>
        <w:tc>
          <w:tcPr>
            <w:tcW w:type="dxa" w:w="122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Impact</w:t>
            </w:r>
          </w:p>
        </w:tc>
        <w:tc>
          <w:tcPr>
            <w:tcW w:type="dxa" w:w="1184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Score</w:t>
            </w:r>
          </w:p>
        </w:tc>
        <w:tc>
          <w:tcPr>
            <w:tcW w:type="dxa" w:w="229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Mitigation in testing</w:t>
            </w:r>
          </w:p>
        </w:tc>
        <w:tc>
          <w:tcPr>
            <w:tcW w:type="dxa" w:w="118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1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R1</w:t>
            </w:r>
          </w:p>
        </w:tc>
        <w:tc>
          <w:tcPr>
            <w:tcW w:type="dxa" w:w="1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8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9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8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5.3 Coverage mapping</w:t>
      </w:r>
      <w:r>
        <w:rPr>
          <w:sz w:val="21"/>
          <w:szCs w:val="21"/>
        </w:rPr>
        <w:t xml:space="preserve"> — Which risks map to which test types and to which automation tiers.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6. Test Automation Strategy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6.1 Automation objectives</w:t>
      </w:r>
      <w:r>
        <w:rPr>
          <w:sz w:val="21"/>
          <w:szCs w:val="21"/>
        </w:rPr>
        <w:t xml:space="preserve"> — Why automate: regression cost, feedback speed, release confidence.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6.2 Pyramid / shape targets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811"/>
        <w:gridCol w:w="1865"/>
        <w:gridCol w:w="1828"/>
        <w:gridCol w:w="3242"/>
      </w:tblGrid>
      <w:tr>
        <w:trPr>
          <w:tblHeader/>
        </w:trPr>
        <w:tc>
          <w:tcPr>
            <w:tcW w:type="dxa" w:w="281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Tier</w:t>
            </w:r>
          </w:p>
        </w:tc>
        <w:tc>
          <w:tcPr>
            <w:tcW w:type="dxa" w:w="186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Target share</w:t>
            </w:r>
          </w:p>
        </w:tc>
        <w:tc>
          <w:tcPr>
            <w:tcW w:type="dxa" w:w="182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Max runtime</w:t>
            </w:r>
          </w:p>
        </w:tc>
        <w:tc>
          <w:tcPr>
            <w:tcW w:type="dxa" w:w="3242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Runs on</w:t>
            </w:r>
          </w:p>
        </w:tc>
      </w:tr>
      <w:tr>
        <w:tc>
          <w:tcPr>
            <w:tcW w:type="dxa" w:w="28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Unit</w:t>
            </w:r>
          </w:p>
        </w:tc>
        <w:tc>
          <w:tcPr>
            <w:tcW w:type="dxa" w:w="18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Every commit</w:t>
            </w:r>
          </w:p>
        </w:tc>
      </w:tr>
      <w:tr>
        <w:tc>
          <w:tcPr>
            <w:tcW w:type="dxa" w:w="281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Integration / API</w:t>
            </w:r>
          </w:p>
        </w:tc>
        <w:tc>
          <w:tcPr>
            <w:tcW w:type="dxa" w:w="186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42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Every PR</w:t>
            </w:r>
          </w:p>
        </w:tc>
      </w:tr>
      <w:tr>
        <w:tc>
          <w:tcPr>
            <w:tcW w:type="dxa" w:w="28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UI end-to-end</w:t>
            </w:r>
          </w:p>
        </w:tc>
        <w:tc>
          <w:tcPr>
            <w:tcW w:type="dxa" w:w="186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Merge to main / nightly</w:t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6.3 Frameworks and tooling</w:t>
      </w:r>
      <w:r>
        <w:rPr>
          <w:sz w:val="21"/>
          <w:szCs w:val="21"/>
        </w:rPr>
        <w:t xml:space="preserve"> — Language, framework, runner, reporting, test data tooling.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6.4 Candidate selection rules</w:t>
      </w:r>
      <w:r>
        <w:rPr>
          <w:sz w:val="21"/>
          <w:szCs w:val="21"/>
        </w:rPr>
        <w:t xml:space="preserve"> — What gets automated, what stays manual, and what is deliberately deleted.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6.5 Maintenance model</w:t>
      </w:r>
      <w:r>
        <w:rPr>
          <w:sz w:val="21"/>
          <w:szCs w:val="21"/>
        </w:rPr>
        <w:t xml:space="preserve"> — Ownership, quarantine policy for flaky tests, flakiness threshold, review cadence.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7. Test Environments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317"/>
        <w:gridCol w:w="1326"/>
        <w:gridCol w:w="1198"/>
        <w:gridCol w:w="1570"/>
        <w:gridCol w:w="1245"/>
        <w:gridCol w:w="2090"/>
      </w:tblGrid>
      <w:tr>
        <w:trPr>
          <w:tblHeader/>
        </w:trPr>
        <w:tc>
          <w:tcPr>
            <w:tcW w:type="dxa" w:w="231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Environment</w:t>
            </w:r>
          </w:p>
        </w:tc>
        <w:tc>
          <w:tcPr>
            <w:tcW w:type="dxa" w:w="132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Purpose</w:t>
            </w:r>
          </w:p>
        </w:tc>
        <w:tc>
          <w:tcPr>
            <w:tcW w:type="dxa" w:w="119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Data</w:t>
            </w:r>
          </w:p>
        </w:tc>
        <w:tc>
          <w:tcPr>
            <w:tcW w:type="dxa" w:w="157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Refresh cadence</w:t>
            </w:r>
          </w:p>
        </w:tc>
        <w:tc>
          <w:tcPr>
            <w:tcW w:type="dxa" w:w="124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Owner</w:t>
            </w:r>
          </w:p>
        </w:tc>
        <w:tc>
          <w:tcPr>
            <w:tcW w:type="dxa" w:w="209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Third-party mode</w:t>
            </w:r>
          </w:p>
        </w:tc>
      </w:tr>
      <w:tr>
        <w:tc>
          <w:tcPr>
            <w:tcW w:type="dxa" w:w="23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Local</w:t>
            </w:r>
          </w:p>
        </w:tc>
        <w:tc>
          <w:tcPr>
            <w:tcW w:type="dxa" w:w="13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Mocked</w:t>
            </w:r>
          </w:p>
        </w:tc>
      </w:tr>
      <w:tr>
        <w:tc>
          <w:tcPr>
            <w:tcW w:type="dxa" w:w="231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CI</w:t>
            </w:r>
          </w:p>
        </w:tc>
        <w:tc>
          <w:tcPr>
            <w:tcW w:type="dxa" w:w="132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9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9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Stubbed</w:t>
            </w:r>
          </w:p>
        </w:tc>
      </w:tr>
      <w:tr>
        <w:tc>
          <w:tcPr>
            <w:tcW w:type="dxa" w:w="23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Integrated test</w:t>
            </w:r>
          </w:p>
        </w:tc>
        <w:tc>
          <w:tcPr>
            <w:tcW w:type="dxa" w:w="13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Sandbox</w:t>
            </w:r>
          </w:p>
        </w:tc>
      </w:tr>
      <w:tr>
        <w:tc>
          <w:tcPr>
            <w:tcW w:type="dxa" w:w="231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Staging / Pre-prod</w:t>
            </w:r>
          </w:p>
        </w:tc>
        <w:tc>
          <w:tcPr>
            <w:tcW w:type="dxa" w:w="132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9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9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Sandbox</w:t>
            </w:r>
          </w:p>
        </w:tc>
      </w:tr>
      <w:tr>
        <w:tc>
          <w:tcPr>
            <w:tcW w:type="dxa" w:w="23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Production</w:t>
            </w:r>
          </w:p>
        </w:tc>
        <w:tc>
          <w:tcPr>
            <w:tcW w:type="dxa" w:w="13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Live</w:t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7.1 Environment constraints</w:t>
      </w:r>
      <w:r>
        <w:rPr>
          <w:sz w:val="21"/>
          <w:szCs w:val="21"/>
        </w:rPr>
        <w:t xml:space="preserve"> — Known limitations, shared-environment contention, booking process.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7.2 Service virtualisation</w:t>
      </w:r>
      <w:r>
        <w:rPr>
          <w:sz w:val="21"/>
          <w:szCs w:val="21"/>
        </w:rPr>
        <w:t xml:space="preserve"> — Where stubs, mocks, or virtual services replace real dependencies, and how contract drift is detected.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8. Test Data Management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Data sources: synthetic, masked production extract, seeded fixtures.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Privacy and compliance obligations (e.g. GDPR, PCI-DSS, HIPAA) and the masking/anonymisation approach.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Data provisioning: who creates it, how it is refreshed, how tests remain independent.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Retention and disposal.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9. Defect Management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9.1 Workflow</w:t>
      </w:r>
      <w:r>
        <w:rPr>
          <w:sz w:val="21"/>
          <w:szCs w:val="21"/>
        </w:rPr>
        <w:t xml:space="preserve"> — New → Triaged → In progress → Ready for test → Verified → Closed (and Rejected / Deferred / Duplicate).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9.2 Severity definitions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4351"/>
        <w:gridCol w:w="2798"/>
        <w:gridCol w:w="2597"/>
      </w:tblGrid>
      <w:tr>
        <w:trPr>
          <w:tblHeader/>
        </w:trPr>
        <w:tc>
          <w:tcPr>
            <w:tcW w:type="dxa" w:w="435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Severity</w:t>
            </w:r>
          </w:p>
        </w:tc>
        <w:tc>
          <w:tcPr>
            <w:tcW w:type="dxa" w:w="279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Definition</w:t>
            </w:r>
          </w:p>
        </w:tc>
        <w:tc>
          <w:tcPr>
            <w:tcW w:type="dxa" w:w="259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Example</w:t>
            </w:r>
          </w:p>
        </w:tc>
      </w:tr>
      <w:tr>
        <w:tc>
          <w:tcPr>
            <w:tcW w:type="dxa" w:w="43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S1 — Critical</w:t>
            </w:r>
          </w:p>
        </w:tc>
        <w:tc>
          <w:tcPr>
            <w:tcW w:type="dxa" w:w="27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5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S2 — Major</w:t>
            </w:r>
          </w:p>
        </w:tc>
        <w:tc>
          <w:tcPr>
            <w:tcW w:type="dxa" w:w="279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S3 — Minor</w:t>
            </w:r>
          </w:p>
        </w:tc>
        <w:tc>
          <w:tcPr>
            <w:tcW w:type="dxa" w:w="27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5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S4 — Trivial</w:t>
            </w:r>
          </w:p>
        </w:tc>
        <w:tc>
          <w:tcPr>
            <w:tcW w:type="dxa" w:w="279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9.3 Priority vs severity</w:t>
      </w:r>
      <w:r>
        <w:rPr>
          <w:sz w:val="21"/>
          <w:szCs w:val="21"/>
        </w:rPr>
        <w:t xml:space="preserve"> — Clarify that they are set by different people for different reasons.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9.4 Triage</w:t>
      </w:r>
      <w:r>
        <w:rPr>
          <w:sz w:val="21"/>
          <w:szCs w:val="21"/>
        </w:rPr>
        <w:t xml:space="preserve"> — Cadence, attendees, decision rights.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9.5 Response targets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3218"/>
        <w:gridCol w:w="3342"/>
        <w:gridCol w:w="3186"/>
      </w:tblGrid>
      <w:tr>
        <w:trPr>
          <w:tblHeader/>
        </w:trPr>
        <w:tc>
          <w:tcPr>
            <w:tcW w:type="dxa" w:w="321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Severity</w:t>
            </w:r>
          </w:p>
        </w:tc>
        <w:tc>
          <w:tcPr>
            <w:tcW w:type="dxa" w:w="3342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Acknowledge</w:t>
            </w:r>
          </w:p>
        </w:tc>
        <w:tc>
          <w:tcPr>
            <w:tcW w:type="dxa" w:w="318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Fix target</w:t>
            </w:r>
          </w:p>
        </w:tc>
      </w:tr>
      <w:tr>
        <w:tc>
          <w:tcPr>
            <w:tcW w:type="dxa" w:w="32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S1</w:t>
            </w:r>
          </w:p>
        </w:tc>
        <w:tc>
          <w:tcPr>
            <w:tcW w:type="dxa" w:w="33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1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1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S2</w:t>
            </w:r>
          </w:p>
        </w:tc>
        <w:tc>
          <w:tcPr>
            <w:tcW w:type="dxa" w:w="3342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18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10. Entry and Exit Criteria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10.1 Entry criteria</w:t>
      </w:r>
      <w:r>
        <w:rPr>
          <w:sz w:val="21"/>
          <w:szCs w:val="21"/>
        </w:rPr>
        <w:t xml:space="preserve"> — Conditions before a test level or phase starts.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10.2 Exit criteria</w:t>
      </w:r>
      <w:r>
        <w:rPr>
          <w:sz w:val="21"/>
          <w:szCs w:val="21"/>
        </w:rPr>
        <w:t xml:space="preserve"> — Conditions to declare it complete.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10.3 Suspension and resumption criteria</w:t>
      </w:r>
      <w:r>
        <w:rPr>
          <w:sz w:val="21"/>
          <w:szCs w:val="21"/>
        </w:rPr>
        <w:t xml:space="preserve"> — When testing stops, and what must be true to restart.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10.4 Release readiness criteria</w:t>
      </w:r>
      <w:r>
        <w:rPr>
          <w:sz w:val="21"/>
          <w:szCs w:val="21"/>
        </w:rPr>
        <w:t xml:space="preserve"> — The go/no-go checklist.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11. Non-Functional Testing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717"/>
        <w:gridCol w:w="1496"/>
        <w:gridCol w:w="1319"/>
        <w:gridCol w:w="1228"/>
        <w:gridCol w:w="1431"/>
        <w:gridCol w:w="1555"/>
      </w:tblGrid>
      <w:tr>
        <w:trPr>
          <w:tblHeader/>
        </w:trPr>
        <w:tc>
          <w:tcPr>
            <w:tcW w:type="dxa" w:w="271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Attribute</w:t>
            </w:r>
          </w:p>
        </w:tc>
        <w:tc>
          <w:tcPr>
            <w:tcW w:type="dxa" w:w="149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31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Method</w:t>
            </w:r>
          </w:p>
        </w:tc>
        <w:tc>
          <w:tcPr>
            <w:tcW w:type="dxa" w:w="122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Tool</w:t>
            </w:r>
          </w:p>
        </w:tc>
        <w:tc>
          <w:tcPr>
            <w:tcW w:type="dxa" w:w="143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Frequency</w:t>
            </w:r>
          </w:p>
        </w:tc>
        <w:tc>
          <w:tcPr>
            <w:tcW w:type="dxa" w:w="155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Pass criteria</w:t>
            </w:r>
          </w:p>
        </w:tc>
      </w:tr>
      <w:tr>
        <w:tc>
          <w:tcPr>
            <w:tcW w:type="dxa" w:w="27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Performance</w:t>
            </w:r>
          </w:p>
        </w:tc>
        <w:tc>
          <w:tcPr>
            <w:tcW w:type="dxa" w:w="14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1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Scalability</w:t>
            </w:r>
          </w:p>
        </w:tc>
        <w:tc>
          <w:tcPr>
            <w:tcW w:type="dxa" w:w="149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Security</w:t>
            </w:r>
          </w:p>
        </w:tc>
        <w:tc>
          <w:tcPr>
            <w:tcW w:type="dxa" w:w="14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1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Accessibility</w:t>
            </w:r>
          </w:p>
        </w:tc>
        <w:tc>
          <w:tcPr>
            <w:tcW w:type="dxa" w:w="149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Availability / Resilience</w:t>
            </w:r>
          </w:p>
        </w:tc>
        <w:tc>
          <w:tcPr>
            <w:tcW w:type="dxa" w:w="14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1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Compatibility</w:t>
            </w:r>
          </w:p>
        </w:tc>
        <w:tc>
          <w:tcPr>
            <w:tcW w:type="dxa" w:w="149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8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3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12. Roles and Responsibilities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6119"/>
        <w:gridCol w:w="3627"/>
      </w:tblGrid>
      <w:tr>
        <w:trPr>
          <w:tblHeader/>
        </w:trPr>
        <w:tc>
          <w:tcPr>
            <w:tcW w:type="dxa" w:w="611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Role</w:t>
            </w:r>
          </w:p>
        </w:tc>
        <w:tc>
          <w:tcPr>
            <w:tcW w:type="dxa" w:w="362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Responsibilities</w:t>
            </w:r>
          </w:p>
        </w:tc>
      </w:tr>
      <w:tr>
        <w:tc>
          <w:tcPr>
            <w:tcW w:type="dxa" w:w="6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Test / QA Lead</w:t>
            </w:r>
          </w:p>
        </w:tc>
        <w:tc>
          <w:tcPr>
            <w:tcW w:type="dxa" w:w="36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QA Engineer</w:t>
            </w:r>
          </w:p>
        </w:tc>
        <w:tc>
          <w:tcPr>
            <w:tcW w:type="dxa" w:w="362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Developer</w:t>
            </w:r>
          </w:p>
        </w:tc>
        <w:tc>
          <w:tcPr>
            <w:tcW w:type="dxa" w:w="36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Product Owner / BA</w:t>
            </w:r>
          </w:p>
        </w:tc>
        <w:tc>
          <w:tcPr>
            <w:tcW w:type="dxa" w:w="362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DevOps / SRE</w:t>
            </w:r>
          </w:p>
        </w:tc>
        <w:tc>
          <w:tcPr>
            <w:tcW w:type="dxa" w:w="36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Security</w:t>
            </w:r>
          </w:p>
        </w:tc>
        <w:tc>
          <w:tcPr>
            <w:tcW w:type="dxa" w:w="3627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Business UAT representative</w:t>
            </w:r>
          </w:p>
        </w:tc>
        <w:tc>
          <w:tcPr>
            <w:tcW w:type="dxa" w:w="36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sz w:val="21"/>
          <w:szCs w:val="21"/>
        </w:rPr>
        <w:t xml:space="preserve">Consider a RACI table for contentious activities: test data creation, environment refresh, UAT sign-off, production verification.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13. Metrics and Reporting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1764"/>
        <w:gridCol w:w="2277"/>
        <w:gridCol w:w="1764"/>
        <w:gridCol w:w="1905"/>
        <w:gridCol w:w="2036"/>
      </w:tblGrid>
      <w:tr>
        <w:trPr>
          <w:tblHeader/>
        </w:trPr>
        <w:tc>
          <w:tcPr>
            <w:tcW w:type="dxa" w:w="1764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Metric</w:t>
            </w:r>
          </w:p>
        </w:tc>
        <w:tc>
          <w:tcPr>
            <w:tcW w:type="dxa" w:w="2277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Definition</w:t>
            </w:r>
          </w:p>
        </w:tc>
        <w:tc>
          <w:tcPr>
            <w:tcW w:type="dxa" w:w="1764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Source</w:t>
            </w:r>
          </w:p>
        </w:tc>
        <w:tc>
          <w:tcPr>
            <w:tcW w:type="dxa" w:w="1905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Cadence</w:t>
            </w:r>
          </w:p>
        </w:tc>
        <w:tc>
          <w:tcPr>
            <w:tcW w:type="dxa" w:w="203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Audience</w:t>
            </w:r>
          </w:p>
        </w:tc>
      </w:tr>
      <w:tr>
        <w:tc>
          <w:tcPr>
            <w:tcW w:type="dxa" w:w="17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0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before="60" w:line="280"/>
      </w:pPr>
      <w:r>
        <w:rPr>
          <w:sz w:val="21"/>
          <w:szCs w:val="21"/>
        </w:rPr>
        <w:t xml:space="preserve">Suggested set: defect density, escaped defects, automated coverage of critical paths, pipeline pass rate, flaky test rate, mean time to detect, mean time to repair, test execution duration.</w:t>
      </w:r>
    </w:p>
    <w:p>
      <w:pPr>
        <w:spacing w:after="120" w:before="60" w:line="280"/>
      </w:pPr>
      <w:r>
        <w:rPr>
          <w:b/>
          <w:bCs/>
          <w:sz w:val="21"/>
          <w:szCs w:val="21"/>
        </w:rPr>
        <w:t xml:space="preserve">13.1 Reporting artefacts</w:t>
      </w:r>
      <w:r>
        <w:rPr>
          <w:sz w:val="21"/>
          <w:szCs w:val="21"/>
        </w:rPr>
        <w:t xml:space="preserve"> — Dashboard, release report, quality review deck. State the cadence and owner of each.</w:t>
      </w: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14. Tooling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3804"/>
        <w:gridCol w:w="1930"/>
        <w:gridCol w:w="2006"/>
        <w:gridCol w:w="2006"/>
      </w:tblGrid>
      <w:tr>
        <w:trPr>
          <w:tblHeader/>
        </w:trPr>
        <w:tc>
          <w:tcPr>
            <w:tcW w:type="dxa" w:w="3804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Purpose</w:t>
            </w:r>
          </w:p>
        </w:tc>
        <w:tc>
          <w:tcPr>
            <w:tcW w:type="dxa" w:w="193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Tool</w:t>
            </w:r>
          </w:p>
        </w:tc>
        <w:tc>
          <w:tcPr>
            <w:tcW w:type="dxa" w:w="200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Owner</w:t>
            </w:r>
          </w:p>
        </w:tc>
        <w:tc>
          <w:tcPr>
            <w:tcW w:type="dxa" w:w="200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8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Test management</w:t>
            </w:r>
          </w:p>
        </w:tc>
        <w:tc>
          <w:tcPr>
            <w:tcW w:type="dxa" w:w="1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Defect tracking</w:t>
            </w:r>
          </w:p>
        </w:tc>
        <w:tc>
          <w:tcPr>
            <w:tcW w:type="dxa" w:w="193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Automation</w:t>
            </w:r>
          </w:p>
        </w:tc>
        <w:tc>
          <w:tcPr>
            <w:tcW w:type="dxa" w:w="1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CI/CD</w:t>
            </w:r>
          </w:p>
        </w:tc>
        <w:tc>
          <w:tcPr>
            <w:tcW w:type="dxa" w:w="193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Performance</w:t>
            </w:r>
          </w:p>
        </w:tc>
        <w:tc>
          <w:tcPr>
            <w:tcW w:type="dxa" w:w="1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Security scanning</w:t>
            </w:r>
          </w:p>
        </w:tc>
        <w:tc>
          <w:tcPr>
            <w:tcW w:type="dxa" w:w="193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Reporting</w:t>
            </w:r>
          </w:p>
        </w:tc>
        <w:tc>
          <w:tcPr>
            <w:tcW w:type="dxa" w:w="1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15. Risks, Assumptions, Dependencies, Constraints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556"/>
        <w:gridCol w:w="1960"/>
        <w:gridCol w:w="1729"/>
        <w:gridCol w:w="1830"/>
        <w:gridCol w:w="1671"/>
      </w:tblGrid>
      <w:tr>
        <w:trPr>
          <w:tblHeader/>
        </w:trPr>
        <w:tc>
          <w:tcPr>
            <w:tcW w:type="dxa" w:w="2556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Type</w:t>
            </w:r>
          </w:p>
        </w:tc>
        <w:tc>
          <w:tcPr>
            <w:tcW w:type="dxa" w:w="196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72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Impact</w:t>
            </w:r>
          </w:p>
        </w:tc>
        <w:tc>
          <w:tcPr>
            <w:tcW w:type="dxa" w:w="1830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Response</w:t>
            </w:r>
          </w:p>
        </w:tc>
        <w:tc>
          <w:tcPr>
            <w:tcW w:type="dxa" w:w="167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5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Risk</w:t>
            </w:r>
          </w:p>
        </w:tc>
        <w:tc>
          <w:tcPr>
            <w:tcW w:type="dxa" w:w="1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5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Assumption</w:t>
            </w:r>
          </w:p>
        </w:tc>
        <w:tc>
          <w:tcPr>
            <w:tcW w:type="dxa" w:w="196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Dependency</w:t>
            </w:r>
          </w:p>
        </w:tc>
        <w:tc>
          <w:tcPr>
            <w:tcW w:type="dxa" w:w="19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556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>Constraint</w:t>
            </w:r>
          </w:p>
        </w:tc>
        <w:tc>
          <w:tcPr>
            <w:tcW w:type="dxa" w:w="196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9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0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71"/>
            <w:shd w:fill="F7F8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16. Approval</w:t>
      </w:r>
    </w:p>
    <w:tbl>
      <w:tblPr>
        <w:tblW w:type="dxa" w:w="9746"/>
        <w:tblBorders>
          <w:top w:val="single" w:color="C7CDD9" w:sz="2"/>
          <w:left w:val="single" w:color="C7CDD9" w:sz="2"/>
          <w:bottom w:val="single" w:color="C7CDD9" w:sz="2"/>
          <w:right w:val="single" w:color="C7CDD9" w:sz="2"/>
          <w:insideH w:val="single" w:color="C7CDD9" w:sz="2"/>
          <w:insideV w:val="single" w:color="C7CDD9" w:sz="2"/>
        </w:tblBorders>
      </w:tblPr>
      <w:tblGrid>
        <w:gridCol w:w="2258"/>
        <w:gridCol w:w="2258"/>
        <w:gridCol w:w="2971"/>
        <w:gridCol w:w="2259"/>
      </w:tblGrid>
      <w:tr>
        <w:trPr>
          <w:tblHeader/>
        </w:trPr>
        <w:tc>
          <w:tcPr>
            <w:tcW w:type="dxa" w:w="225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Name</w:t>
            </w:r>
          </w:p>
        </w:tc>
        <w:tc>
          <w:tcPr>
            <w:tcW w:type="dxa" w:w="2258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Role</w:t>
            </w:r>
          </w:p>
        </w:tc>
        <w:tc>
          <w:tcPr>
            <w:tcW w:type="dxa" w:w="2971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Signature</w:t>
            </w:r>
          </w:p>
        </w:tc>
        <w:tc>
          <w:tcPr>
            <w:tcW w:type="dxa" w:w="2259"/>
            <w:shd w:fill="E7EB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22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5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9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5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2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140" w:before="320"/>
      </w:pPr>
      <w:r>
        <w:rPr>
          <w:b/>
          <w:bCs/>
          <w:color w:val="1F3864"/>
          <w:sz w:val="25"/>
          <w:szCs w:val="25"/>
        </w:rPr>
        <w:t xml:space="preserve">Appendices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A — Glossary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B — Traceability approach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C — Test environment architecture diagram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1"/>
          <w:szCs w:val="21"/>
        </w:rPr>
        <w:t xml:space="preserve">D — Templates referenced (bug report, test charter, release report)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Strategy Document Template</dc:title>
  <dc:creator>Claude</dc:creator>
  <cp:lastModifiedBy>Un-named</cp:lastModifiedBy>
  <cp:revision>1</cp:revision>
  <dcterms:created xsi:type="dcterms:W3CDTF">2026-09-17T06:10:09.406Z</dcterms:created>
  <dcterms:modified xsi:type="dcterms:W3CDTF">2026-09-17T06:10:09.406Z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