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1F3864" w:sz="8" w:space="6"/>
        </w:pBdr>
        <w:spacing w:after="220" w:before="240"/>
      </w:pPr>
      <w:r>
        <w:rPr>
          <w:b/>
          <w:bCs/>
          <w:color w:val="1F3864"/>
          <w:sz w:val="32"/>
          <w:szCs w:val="32"/>
        </w:rPr>
        <w:t xml:space="preserve">Sample Test Strategy for an Agile Project</w:t>
      </w:r>
    </w:p>
    <w:p>
      <w:pPr>
        <w:pBdr>
          <w:left w:val="single" w:color="1F3864" w:sz="12" w:space="10"/>
        </w:pBdr>
        <w:spacing w:after="40" w:before="40"/>
        <w:ind w:left="400"/>
      </w:pPr>
      <w:r>
        <w:rPr>
          <w:b/>
          <w:bCs/>
          <w:i/>
          <w:iCs/>
          <w:color w:val="404040"/>
          <w:sz w:val="20"/>
          <w:szCs w:val="20"/>
        </w:rPr>
        <w:t xml:space="preserve">Illustrative example.</w:t>
      </w:r>
      <w:r>
        <w:rPr>
          <w:i/>
          <w:iCs/>
          <w:color w:val="404040"/>
          <w:sz w:val="20"/>
          <w:szCs w:val="20"/>
        </w:rPr>
        <w:t xml:space="preserve"> Product, names, and figures are fictional. Use it as a model for tone, specificity, and level of detail — then replace with your own.</w:t>
      </w:r>
    </w:p>
    <w:p>
      <w:pPr>
        <w:spacing w:after="160"/>
      </w:pPr>
    </w:p>
    <w:p>
      <w:pPr>
        <w:pStyle w:val="Heading2"/>
        <w:keepNext/>
        <w:spacing w:after="140" w:before="320"/>
      </w:pPr>
      <w:r>
        <w:rPr>
          <w:b/>
          <w:bCs/>
          <w:color w:val="1F3864"/>
          <w:sz w:val="25"/>
          <w:szCs w:val="25"/>
        </w:rPr>
        <w:t xml:space="preserve">Document Control</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3395"/>
        <w:gridCol w:w="6351"/>
      </w:tblGrid>
      <w:tr>
        <w:trPr>
          <w:tblHeader/>
        </w:trPr>
        <w:tc>
          <w:tcPr>
            <w:tcW w:type="dxa" w:w="3395"/>
            <w:shd w:fill="E7EBF3" w:color="auto" w:val="clear"/>
            <w:tcMar>
              <w:top w:type="dxa" w:w="60"/>
              <w:left w:type="dxa" w:w="100"/>
              <w:bottom w:type="dxa" w:w="60"/>
              <w:right w:type="dxa" w:w="100"/>
            </w:tcMar>
          </w:tcPr>
          <w:p>
            <w:pPr>
              <w:spacing w:after="20" w:before="20"/>
            </w:pPr>
            <w:r>
              <w:rPr>
                <w:b/>
                <w:bCs/>
                <w:color w:val="1F3864"/>
                <w:sz w:val="19"/>
                <w:szCs w:val="19"/>
              </w:rPr>
              <w:t xml:space="preserve">Field</w:t>
            </w:r>
          </w:p>
        </w:tc>
        <w:tc>
          <w:tcPr>
            <w:tcW w:type="dxa" w:w="6351"/>
            <w:shd w:fill="E7EBF3" w:color="auto" w:val="clear"/>
            <w:tcMar>
              <w:top w:type="dxa" w:w="60"/>
              <w:left w:type="dxa" w:w="100"/>
              <w:bottom w:type="dxa" w:w="60"/>
              <w:right w:type="dxa" w:w="100"/>
            </w:tcMar>
          </w:tcPr>
          <w:p>
            <w:pPr>
              <w:spacing w:after="20" w:before="20"/>
            </w:pPr>
            <w:r>
              <w:rPr>
                <w:b/>
                <w:bCs/>
                <w:color w:val="1F3864"/>
                <w:sz w:val="19"/>
                <w:szCs w:val="19"/>
              </w:rPr>
              <w:t xml:space="preserve">Value</w:t>
            </w:r>
          </w:p>
        </w:tc>
      </w:tr>
      <w:tr>
        <w:tc>
          <w:tcPr>
            <w:tcW w:type="dxa" w:w="3395"/>
            <w:tcMar>
              <w:top w:type="dxa" w:w="60"/>
              <w:left w:type="dxa" w:w="100"/>
              <w:bottom w:type="dxa" w:w="60"/>
              <w:right w:type="dxa" w:w="100"/>
            </w:tcMar>
          </w:tcPr>
          <w:p>
            <w:pPr>
              <w:spacing w:after="20" w:before="20"/>
            </w:pPr>
            <w:r>
              <w:rPr>
                <w:sz w:val="19"/>
                <w:szCs w:val="19"/>
              </w:rPr>
              <w:t xml:space="preserve">Document title</w:t>
            </w:r>
          </w:p>
        </w:tc>
        <w:tc>
          <w:tcPr>
            <w:tcW w:type="dxa" w:w="6351"/>
            <w:tcMar>
              <w:top w:type="dxa" w:w="60"/>
              <w:left w:type="dxa" w:w="100"/>
              <w:bottom w:type="dxa" w:w="60"/>
              <w:right w:type="dxa" w:w="100"/>
            </w:tcMar>
          </w:tcPr>
          <w:p>
            <w:pPr>
              <w:spacing w:after="20" w:before="20"/>
            </w:pPr>
            <w:r>
              <w:rPr>
                <w:sz w:val="19"/>
                <w:szCs w:val="19"/>
              </w:rPr>
              <w:t xml:space="preserve">Test Strategy — Meridian Mobile Banking</w:t>
            </w:r>
          </w:p>
        </w:tc>
      </w:tr>
      <w:tr>
        <w:tc>
          <w:tcPr>
            <w:tcW w:type="dxa" w:w="3395"/>
            <w:shd w:fill="F7F8FA" w:color="auto" w:val="clear"/>
            <w:tcMar>
              <w:top w:type="dxa" w:w="60"/>
              <w:left w:type="dxa" w:w="100"/>
              <w:bottom w:type="dxa" w:w="60"/>
              <w:right w:type="dxa" w:w="100"/>
            </w:tcMar>
          </w:tcPr>
          <w:p>
            <w:pPr>
              <w:spacing w:after="20" w:before="20"/>
            </w:pPr>
            <w:r>
              <w:rPr>
                <w:sz w:val="19"/>
                <w:szCs w:val="19"/>
              </w:rPr>
              <w:t xml:space="preserve">Version</w:t>
            </w:r>
          </w:p>
        </w:tc>
        <w:tc>
          <w:tcPr>
            <w:tcW w:type="dxa" w:w="6351"/>
            <w:shd w:fill="F7F8FA" w:color="auto" w:val="clear"/>
            <w:tcMar>
              <w:top w:type="dxa" w:w="60"/>
              <w:left w:type="dxa" w:w="100"/>
              <w:bottom w:type="dxa" w:w="60"/>
              <w:right w:type="dxa" w:w="100"/>
            </w:tcMar>
          </w:tcPr>
          <w:p>
            <w:pPr>
              <w:spacing w:after="20" w:before="20"/>
            </w:pPr>
            <w:r>
              <w:rPr>
                <w:sz w:val="19"/>
                <w:szCs w:val="19"/>
              </w:rPr>
              <w:t xml:space="preserve">2.1</w:t>
            </w:r>
          </w:p>
        </w:tc>
      </w:tr>
      <w:tr>
        <w:tc>
          <w:tcPr>
            <w:tcW w:type="dxa" w:w="3395"/>
            <w:tcMar>
              <w:top w:type="dxa" w:w="60"/>
              <w:left w:type="dxa" w:w="100"/>
              <w:bottom w:type="dxa" w:w="60"/>
              <w:right w:type="dxa" w:w="100"/>
            </w:tcMar>
          </w:tcPr>
          <w:p>
            <w:pPr>
              <w:spacing w:after="20" w:before="20"/>
            </w:pPr>
            <w:r>
              <w:rPr>
                <w:sz w:val="19"/>
                <w:szCs w:val="19"/>
              </w:rPr>
              <w:t xml:space="preserve">Status</w:t>
            </w:r>
          </w:p>
        </w:tc>
        <w:tc>
          <w:tcPr>
            <w:tcW w:type="dxa" w:w="6351"/>
            <w:tcMar>
              <w:top w:type="dxa" w:w="60"/>
              <w:left w:type="dxa" w:w="100"/>
              <w:bottom w:type="dxa" w:w="60"/>
              <w:right w:type="dxa" w:w="100"/>
            </w:tcMar>
          </w:tcPr>
          <w:p>
            <w:pPr>
              <w:spacing w:after="20" w:before="20"/>
            </w:pPr>
            <w:r>
              <w:rPr>
                <w:sz w:val="19"/>
                <w:szCs w:val="19"/>
              </w:rPr>
              <w:t xml:space="preserve">Approved</w:t>
            </w:r>
          </w:p>
        </w:tc>
      </w:tr>
      <w:tr>
        <w:tc>
          <w:tcPr>
            <w:tcW w:type="dxa" w:w="3395"/>
            <w:shd w:fill="F7F8FA" w:color="auto" w:val="clear"/>
            <w:tcMar>
              <w:top w:type="dxa" w:w="60"/>
              <w:left w:type="dxa" w:w="100"/>
              <w:bottom w:type="dxa" w:w="60"/>
              <w:right w:type="dxa" w:w="100"/>
            </w:tcMar>
          </w:tcPr>
          <w:p>
            <w:pPr>
              <w:spacing w:after="20" w:before="20"/>
            </w:pPr>
            <w:r>
              <w:rPr>
                <w:sz w:val="19"/>
                <w:szCs w:val="19"/>
              </w:rPr>
              <w:t xml:space="preserve">Author</w:t>
            </w:r>
          </w:p>
        </w:tc>
        <w:tc>
          <w:tcPr>
            <w:tcW w:type="dxa" w:w="6351"/>
            <w:shd w:fill="F7F8FA" w:color="auto" w:val="clear"/>
            <w:tcMar>
              <w:top w:type="dxa" w:w="60"/>
              <w:left w:type="dxa" w:w="100"/>
              <w:bottom w:type="dxa" w:w="60"/>
              <w:right w:type="dxa" w:w="100"/>
            </w:tcMar>
          </w:tcPr>
          <w:p>
            <w:pPr>
              <w:spacing w:after="20" w:before="20"/>
            </w:pPr>
            <w:r>
              <w:rPr>
                <w:sz w:val="19"/>
                <w:szCs w:val="19"/>
              </w:rPr>
              <w:t xml:space="preserve">A. Kulkarni, QA Lead</w:t>
            </w:r>
          </w:p>
        </w:tc>
      </w:tr>
      <w:tr>
        <w:tc>
          <w:tcPr>
            <w:tcW w:type="dxa" w:w="3395"/>
            <w:tcMar>
              <w:top w:type="dxa" w:w="60"/>
              <w:left w:type="dxa" w:w="100"/>
              <w:bottom w:type="dxa" w:w="60"/>
              <w:right w:type="dxa" w:w="100"/>
            </w:tcMar>
          </w:tcPr>
          <w:p>
            <w:pPr>
              <w:spacing w:after="20" w:before="20"/>
            </w:pPr>
            <w:r>
              <w:rPr>
                <w:sz w:val="19"/>
                <w:szCs w:val="19"/>
              </w:rPr>
              <w:t xml:space="preserve">Owner</w:t>
            </w:r>
          </w:p>
        </w:tc>
        <w:tc>
          <w:tcPr>
            <w:tcW w:type="dxa" w:w="6351"/>
            <w:tcMar>
              <w:top w:type="dxa" w:w="60"/>
              <w:left w:type="dxa" w:w="100"/>
              <w:bottom w:type="dxa" w:w="60"/>
              <w:right w:type="dxa" w:w="100"/>
            </w:tcMar>
          </w:tcPr>
          <w:p>
            <w:pPr>
              <w:spacing w:after="20" w:before="20"/>
            </w:pPr>
            <w:r>
              <w:rPr>
                <w:sz w:val="19"/>
                <w:szCs w:val="19"/>
              </w:rPr>
              <w:t xml:space="preserve">Quality Engineering Chapter</w:t>
            </w:r>
          </w:p>
        </w:tc>
      </w:tr>
      <w:tr>
        <w:tc>
          <w:tcPr>
            <w:tcW w:type="dxa" w:w="3395"/>
            <w:shd w:fill="F7F8FA" w:color="auto" w:val="clear"/>
            <w:tcMar>
              <w:top w:type="dxa" w:w="60"/>
              <w:left w:type="dxa" w:w="100"/>
              <w:bottom w:type="dxa" w:w="60"/>
              <w:right w:type="dxa" w:w="100"/>
            </w:tcMar>
          </w:tcPr>
          <w:p>
            <w:pPr>
              <w:spacing w:after="20" w:before="20"/>
            </w:pPr>
            <w:r>
              <w:rPr>
                <w:sz w:val="19"/>
                <w:szCs w:val="19"/>
              </w:rPr>
              <w:t xml:space="preserve">Approvers</w:t>
            </w:r>
          </w:p>
        </w:tc>
        <w:tc>
          <w:tcPr>
            <w:tcW w:type="dxa" w:w="6351"/>
            <w:shd w:fill="F7F8FA" w:color="auto" w:val="clear"/>
            <w:tcMar>
              <w:top w:type="dxa" w:w="60"/>
              <w:left w:type="dxa" w:w="100"/>
              <w:bottom w:type="dxa" w:w="60"/>
              <w:right w:type="dxa" w:w="100"/>
            </w:tcMar>
          </w:tcPr>
          <w:p>
            <w:pPr>
              <w:spacing w:after="20" w:before="20"/>
            </w:pPr>
            <w:r>
              <w:rPr>
                <w:sz w:val="19"/>
                <w:szCs w:val="19"/>
              </w:rPr>
              <w:t xml:space="preserve">Head of Engineering; Product Director; Head of Information Security</w:t>
            </w:r>
          </w:p>
        </w:tc>
      </w:tr>
      <w:tr>
        <w:tc>
          <w:tcPr>
            <w:tcW w:type="dxa" w:w="3395"/>
            <w:tcMar>
              <w:top w:type="dxa" w:w="60"/>
              <w:left w:type="dxa" w:w="100"/>
              <w:bottom w:type="dxa" w:w="60"/>
              <w:right w:type="dxa" w:w="100"/>
            </w:tcMar>
          </w:tcPr>
          <w:p>
            <w:pPr>
              <w:spacing w:after="20" w:before="20"/>
            </w:pPr>
            <w:r>
              <w:rPr>
                <w:sz w:val="19"/>
                <w:szCs w:val="19"/>
              </w:rPr>
              <w:t xml:space="preserve">Last updated</w:t>
            </w:r>
          </w:p>
        </w:tc>
        <w:tc>
          <w:tcPr>
            <w:tcW w:type="dxa" w:w="6351"/>
            <w:tcMar>
              <w:top w:type="dxa" w:w="60"/>
              <w:left w:type="dxa" w:w="100"/>
              <w:bottom w:type="dxa" w:w="60"/>
              <w:right w:type="dxa" w:w="100"/>
            </w:tcMar>
          </w:tcPr>
          <w:p>
            <w:pPr>
              <w:spacing w:after="20" w:before="20"/>
            </w:pPr>
            <w:r>
              <w:rPr>
                <w:sz w:val="19"/>
                <w:szCs w:val="19"/>
              </w:rPr>
              <w:t xml:space="preserve">04-Sep-2026</w:t>
            </w:r>
          </w:p>
        </w:tc>
      </w:tr>
      <w:tr>
        <w:tc>
          <w:tcPr>
            <w:tcW w:type="dxa" w:w="3395"/>
            <w:shd w:fill="F7F8FA" w:color="auto" w:val="clear"/>
            <w:tcMar>
              <w:top w:type="dxa" w:w="60"/>
              <w:left w:type="dxa" w:w="100"/>
              <w:bottom w:type="dxa" w:w="60"/>
              <w:right w:type="dxa" w:w="100"/>
            </w:tcMar>
          </w:tcPr>
          <w:p>
            <w:pPr>
              <w:spacing w:after="20" w:before="20"/>
            </w:pPr>
            <w:r>
              <w:rPr>
                <w:sz w:val="19"/>
                <w:szCs w:val="19"/>
              </w:rPr>
              <w:t xml:space="preserve">Review cadence</w:t>
            </w:r>
          </w:p>
        </w:tc>
        <w:tc>
          <w:tcPr>
            <w:tcW w:type="dxa" w:w="6351"/>
            <w:shd w:fill="F7F8FA" w:color="auto" w:val="clear"/>
            <w:tcMar>
              <w:top w:type="dxa" w:w="60"/>
              <w:left w:type="dxa" w:w="100"/>
              <w:bottom w:type="dxa" w:w="60"/>
              <w:right w:type="dxa" w:w="100"/>
            </w:tcMar>
          </w:tcPr>
          <w:p>
            <w:pPr>
              <w:spacing w:after="20" w:before="20"/>
            </w:pPr>
            <w:r>
              <w:rPr>
                <w:sz w:val="19"/>
                <w:szCs w:val="19"/>
              </w:rPr>
              <w:t xml:space="preserve">Quarterly, or on material architecture change</w:t>
            </w:r>
          </w:p>
        </w:tc>
      </w:tr>
    </w:tbl>
    <w:p>
      <w:pPr>
        <w:spacing w:after="200"/>
      </w:pPr>
    </w:p>
    <w:p>
      <w:pPr>
        <w:pStyle w:val="Heading2"/>
        <w:keepNext/>
        <w:spacing w:after="140" w:before="320"/>
      </w:pPr>
      <w:r>
        <w:rPr>
          <w:b/>
          <w:bCs/>
          <w:color w:val="1F3864"/>
          <w:sz w:val="25"/>
          <w:szCs w:val="25"/>
        </w:rPr>
        <w:t xml:space="preserve">1. Purpose and Scope</w:t>
      </w:r>
    </w:p>
    <w:p>
      <w:pPr>
        <w:spacing w:after="120" w:before="60" w:line="280"/>
      </w:pPr>
      <w:r>
        <w:rPr>
          <w:b/>
          <w:bCs/>
          <w:sz w:val="21"/>
          <w:szCs w:val="21"/>
        </w:rPr>
        <w:t xml:space="preserve">Purpose.</w:t>
      </w:r>
      <w:r>
        <w:rPr>
          <w:sz w:val="21"/>
          <w:szCs w:val="21"/>
        </w:rPr>
        <w:t xml:space="preserve"> This strategy defines how quality is built into and verified across the Meridian mobile banking product. It is a living document owned by the QA chapter and applies to all four delivery squads. Sprint-level detail lives in each squad's test notes on the story and in the release checklist; this document sets the standing rules those artefacts operate under.</w:t>
      </w:r>
    </w:p>
    <w:p>
      <w:pPr>
        <w:spacing w:after="120" w:before="60" w:line="280"/>
      </w:pPr>
      <w:r>
        <w:rPr>
          <w:b/>
          <w:bCs/>
          <w:sz w:val="21"/>
          <w:szCs w:val="21"/>
        </w:rPr>
        <w:t xml:space="preserve">In scope.</w:t>
      </w:r>
      <w:r>
        <w:rPr>
          <w:sz w:val="21"/>
          <w:szCs w:val="21"/>
        </w:rPr>
        <w:t xml:space="preserve"> iOS and Android native apps, the Backend-for-Frontend (BFF), the accounts, payments, and notifications microservices, and integrations with the core banking platform and the card processor sandbox.</w:t>
      </w:r>
    </w:p>
    <w:p>
      <w:pPr>
        <w:spacing w:after="120" w:before="60" w:line="280"/>
      </w:pPr>
      <w:r>
        <w:rPr>
          <w:b/>
          <w:bCs/>
          <w:sz w:val="21"/>
          <w:szCs w:val="21"/>
        </w:rPr>
        <w:t xml:space="preserve">Out of scope.</w:t>
      </w:r>
      <w:r>
        <w:rPr>
          <w:sz w:val="21"/>
          <w:szCs w:val="21"/>
        </w:rPr>
        <w:t xml:space="preserve"> The core banking mainframe (owned by Platform Services; verified through contract tests only), the corporate identity provider, and branch teller systems.</w:t>
      </w:r>
    </w:p>
    <w:p>
      <w:pPr>
        <w:spacing w:after="120" w:before="60" w:line="280"/>
      </w:pPr>
      <w:r>
        <w:rPr>
          <w:b/>
          <w:bCs/>
          <w:sz w:val="21"/>
          <w:szCs w:val="21"/>
        </w:rPr>
        <w:t xml:space="preserve">Related documents.</w:t>
      </w:r>
      <w:r>
        <w:rPr>
          <w:sz w:val="21"/>
          <w:szCs w:val="21"/>
        </w:rPr>
        <w:t xml:space="preserve"> Product NFR baseline v4; Architecture Decision Records 12–31; Definition of Done v3; Information Security Testing Policy; Release Management Procedure.</w:t>
      </w:r>
    </w:p>
    <w:p>
      <w:pPr>
        <w:pStyle w:val="Heading2"/>
        <w:keepNext/>
        <w:spacing w:after="140" w:before="320"/>
      </w:pPr>
      <w:r>
        <w:rPr>
          <w:b/>
          <w:bCs/>
          <w:color w:val="1F3864"/>
          <w:sz w:val="25"/>
          <w:szCs w:val="25"/>
        </w:rPr>
        <w:t xml:space="preserve">2. Context</w:t>
      </w:r>
    </w:p>
    <w:p>
      <w:pPr>
        <w:spacing w:after="120" w:before="60" w:line="280"/>
      </w:pPr>
      <w:r>
        <w:rPr>
          <w:b/>
          <w:bCs/>
          <w:sz w:val="21"/>
          <w:szCs w:val="21"/>
        </w:rPr>
        <w:t xml:space="preserve">Product.</w:t>
      </w:r>
      <w:r>
        <w:rPr>
          <w:sz w:val="21"/>
          <w:szCs w:val="21"/>
        </w:rPr>
        <w:t xml:space="preserve"> Meridian is a retail mobile banking app serving roughly 1.4 million monthly active users. Core journeys are onboarding and identity verification, balance and transaction viewing, domestic and international payments, card controls, and dispute raising.</w:t>
      </w:r>
    </w:p>
    <w:p>
      <w:pPr>
        <w:spacing w:after="120" w:before="60" w:line="280"/>
      </w:pPr>
      <w:r>
        <w:rPr>
          <w:b/>
          <w:bCs/>
          <w:sz w:val="21"/>
          <w:szCs w:val="21"/>
        </w:rPr>
        <w:t xml:space="preserve">Architecture.</w:t>
      </w:r>
      <w:r>
        <w:rPr>
          <w:sz w:val="21"/>
          <w:szCs w:val="21"/>
        </w:rPr>
        <w:t xml:space="preserve"> React Native clients call a Node.js BFF, which orchestrates six Java microservices over REST and an event backbone on Kafka. The card processor and the core banking platform are external and expose sandbox environments with limited data sets and business-hours availability.</w:t>
      </w:r>
    </w:p>
    <w:p>
      <w:pPr>
        <w:spacing w:after="120" w:before="60" w:line="280"/>
      </w:pPr>
      <w:r>
        <w:rPr>
          <w:b/>
          <w:bCs/>
          <w:sz w:val="21"/>
          <w:szCs w:val="21"/>
        </w:rPr>
        <w:t xml:space="preserve">Delivery model.</w:t>
      </w:r>
      <w:r>
        <w:rPr>
          <w:sz w:val="21"/>
          <w:szCs w:val="21"/>
        </w:rPr>
        <w:t xml:space="preserve"> Four cross-functional Scrum squads on a two-week cadence, sharing a single trunk. Each squad has one embedded QA engineer. Continuous delivery to staging on every merge to main; production releases fortnightly, with a weekly hotfix window. Mobile store submissions follow the fortnightly cycle.</w:t>
      </w:r>
    </w:p>
    <w:p>
      <w:pPr>
        <w:spacing w:after="120" w:before="60" w:line="280"/>
      </w:pPr>
      <w:r>
        <w:rPr>
          <w:b/>
          <w:bCs/>
          <w:sz w:val="21"/>
          <w:szCs w:val="21"/>
        </w:rPr>
        <w:t xml:space="preserve">Business drivers.</w:t>
      </w:r>
      <w:r>
        <w:rPr>
          <w:sz w:val="21"/>
          <w:szCs w:val="21"/>
        </w:rPr>
        <w:t xml:space="preserve"> Regulatory obligation around payment authentication, a competitive market in which release speed matters, and a very low tolerance for incidents affecting money movement.</w:t>
      </w:r>
    </w:p>
    <w:p>
      <w:pPr>
        <w:pStyle w:val="Heading2"/>
        <w:keepNext/>
        <w:spacing w:after="140" w:before="320"/>
      </w:pPr>
      <w:r>
        <w:rPr>
          <w:b/>
          <w:bCs/>
          <w:color w:val="1F3864"/>
          <w:sz w:val="25"/>
          <w:szCs w:val="25"/>
        </w:rPr>
        <w:t xml:space="preserve">3. Quality Objectives</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1071"/>
        <w:gridCol w:w="3257"/>
        <w:gridCol w:w="3638"/>
        <w:gridCol w:w="1780"/>
      </w:tblGrid>
      <w:tr>
        <w:trPr>
          <w:tblHeader/>
        </w:trPr>
        <w:tc>
          <w:tcPr>
            <w:tcW w:type="dxa" w:w="1071"/>
            <w:shd w:fill="E7EBF3" w:color="auto" w:val="clear"/>
            <w:tcMar>
              <w:top w:type="dxa" w:w="60"/>
              <w:left w:type="dxa" w:w="100"/>
              <w:bottom w:type="dxa" w:w="60"/>
              <w:right w:type="dxa" w:w="100"/>
            </w:tcMar>
          </w:tcPr>
          <w:p>
            <w:pPr>
              <w:spacing w:after="20" w:before="20"/>
            </w:pPr>
            <w:r>
              <w:rPr>
                <w:b/>
                <w:bCs/>
                <w:color w:val="1F3864"/>
                <w:sz w:val="19"/>
                <w:szCs w:val="19"/>
              </w:rPr>
              <w:t xml:space="preserve">#</w:t>
            </w:r>
          </w:p>
        </w:tc>
        <w:tc>
          <w:tcPr>
            <w:tcW w:type="dxa" w:w="3257"/>
            <w:shd w:fill="E7EBF3" w:color="auto" w:val="clear"/>
            <w:tcMar>
              <w:top w:type="dxa" w:w="60"/>
              <w:left w:type="dxa" w:w="100"/>
              <w:bottom w:type="dxa" w:w="60"/>
              <w:right w:type="dxa" w:w="100"/>
            </w:tcMar>
          </w:tcPr>
          <w:p>
            <w:pPr>
              <w:spacing w:after="20" w:before="20"/>
            </w:pPr>
            <w:r>
              <w:rPr>
                <w:b/>
                <w:bCs/>
                <w:color w:val="1F3864"/>
                <w:sz w:val="19"/>
                <w:szCs w:val="19"/>
              </w:rPr>
              <w:t xml:space="preserve">Objective</w:t>
            </w:r>
          </w:p>
        </w:tc>
        <w:tc>
          <w:tcPr>
            <w:tcW w:type="dxa" w:w="3638"/>
            <w:shd w:fill="E7EBF3" w:color="auto" w:val="clear"/>
            <w:tcMar>
              <w:top w:type="dxa" w:w="60"/>
              <w:left w:type="dxa" w:w="100"/>
              <w:bottom w:type="dxa" w:w="60"/>
              <w:right w:type="dxa" w:w="100"/>
            </w:tcMar>
          </w:tcPr>
          <w:p>
            <w:pPr>
              <w:spacing w:after="20" w:before="20"/>
            </w:pPr>
            <w:r>
              <w:rPr>
                <w:b/>
                <w:bCs/>
                <w:color w:val="1F3864"/>
                <w:sz w:val="19"/>
                <w:szCs w:val="19"/>
              </w:rPr>
              <w:t xml:space="preserve">Measure</w:t>
            </w:r>
          </w:p>
        </w:tc>
        <w:tc>
          <w:tcPr>
            <w:tcW w:type="dxa" w:w="1780"/>
            <w:shd w:fill="E7EBF3" w:color="auto" w:val="clear"/>
            <w:tcMar>
              <w:top w:type="dxa" w:w="60"/>
              <w:left w:type="dxa" w:w="100"/>
              <w:bottom w:type="dxa" w:w="60"/>
              <w:right w:type="dxa" w:w="100"/>
            </w:tcMar>
          </w:tcPr>
          <w:p>
            <w:pPr>
              <w:spacing w:after="20" w:before="20"/>
            </w:pPr>
            <w:r>
              <w:rPr>
                <w:b/>
                <w:bCs/>
                <w:color w:val="1F3864"/>
                <w:sz w:val="19"/>
                <w:szCs w:val="19"/>
              </w:rPr>
              <w:t xml:space="preserve">Target</w:t>
            </w:r>
          </w:p>
        </w:tc>
      </w:tr>
      <w:tr>
        <w:tc>
          <w:tcPr>
            <w:tcW w:type="dxa" w:w="1071"/>
            <w:tcMar>
              <w:top w:type="dxa" w:w="60"/>
              <w:left w:type="dxa" w:w="100"/>
              <w:bottom w:type="dxa" w:w="60"/>
              <w:right w:type="dxa" w:w="100"/>
            </w:tcMar>
          </w:tcPr>
          <w:p>
            <w:pPr>
              <w:spacing w:after="20" w:before="20"/>
            </w:pPr>
            <w:r>
              <w:rPr>
                <w:sz w:val="19"/>
                <w:szCs w:val="19"/>
              </w:rPr>
              <w:t xml:space="preserve">1</w:t>
            </w:r>
          </w:p>
        </w:tc>
        <w:tc>
          <w:tcPr>
            <w:tcW w:type="dxa" w:w="3257"/>
            <w:tcMar>
              <w:top w:type="dxa" w:w="60"/>
              <w:left w:type="dxa" w:w="100"/>
              <w:bottom w:type="dxa" w:w="60"/>
              <w:right w:type="dxa" w:w="100"/>
            </w:tcMar>
          </w:tcPr>
          <w:p>
            <w:pPr>
              <w:spacing w:after="20" w:before="20"/>
            </w:pPr>
            <w:r>
              <w:rPr>
                <w:sz w:val="19"/>
                <w:szCs w:val="19"/>
              </w:rPr>
              <w:t xml:space="preserve">Keep money-movement defects out of production</w:t>
            </w:r>
          </w:p>
        </w:tc>
        <w:tc>
          <w:tcPr>
            <w:tcW w:type="dxa" w:w="3638"/>
            <w:tcMar>
              <w:top w:type="dxa" w:w="60"/>
              <w:left w:type="dxa" w:w="100"/>
              <w:bottom w:type="dxa" w:w="60"/>
              <w:right w:type="dxa" w:w="100"/>
            </w:tcMar>
          </w:tcPr>
          <w:p>
            <w:pPr>
              <w:spacing w:after="20" w:before="20"/>
            </w:pPr>
            <w:r>
              <w:rPr>
                <w:sz w:val="19"/>
                <w:szCs w:val="19"/>
              </w:rPr>
              <w:t xml:space="preserve">S1/S2 production defects in payments per quarter</w:t>
            </w:r>
          </w:p>
        </w:tc>
        <w:tc>
          <w:tcPr>
            <w:tcW w:type="dxa" w:w="1780"/>
            <w:tcMar>
              <w:top w:type="dxa" w:w="60"/>
              <w:left w:type="dxa" w:w="100"/>
              <w:bottom w:type="dxa" w:w="60"/>
              <w:right w:type="dxa" w:w="100"/>
            </w:tcMar>
          </w:tcPr>
          <w:p>
            <w:pPr>
              <w:spacing w:after="20" w:before="20"/>
            </w:pPr>
            <w:r>
              <w:rPr>
                <w:sz w:val="19"/>
                <w:szCs w:val="19"/>
              </w:rPr>
              <w:t xml:space="preserve">0</w:t>
            </w:r>
          </w:p>
        </w:tc>
      </w:tr>
      <w:tr>
        <w:tc>
          <w:tcPr>
            <w:tcW w:type="dxa" w:w="1071"/>
            <w:shd w:fill="F7F8FA" w:color="auto" w:val="clear"/>
            <w:tcMar>
              <w:top w:type="dxa" w:w="60"/>
              <w:left w:type="dxa" w:w="100"/>
              <w:bottom w:type="dxa" w:w="60"/>
              <w:right w:type="dxa" w:w="100"/>
            </w:tcMar>
          </w:tcPr>
          <w:p>
            <w:pPr>
              <w:spacing w:after="20" w:before="20"/>
            </w:pPr>
            <w:r>
              <w:rPr>
                <w:sz w:val="19"/>
                <w:szCs w:val="19"/>
              </w:rPr>
              <w:t xml:space="preserve">2</w:t>
            </w:r>
          </w:p>
        </w:tc>
        <w:tc>
          <w:tcPr>
            <w:tcW w:type="dxa" w:w="3257"/>
            <w:shd w:fill="F7F8FA" w:color="auto" w:val="clear"/>
            <w:tcMar>
              <w:top w:type="dxa" w:w="60"/>
              <w:left w:type="dxa" w:w="100"/>
              <w:bottom w:type="dxa" w:w="60"/>
              <w:right w:type="dxa" w:w="100"/>
            </w:tcMar>
          </w:tcPr>
          <w:p>
            <w:pPr>
              <w:spacing w:after="20" w:before="20"/>
            </w:pPr>
            <w:r>
              <w:rPr>
                <w:sz w:val="19"/>
                <w:szCs w:val="19"/>
              </w:rPr>
              <w:t xml:space="preserve">Fast feedback on every change</w:t>
            </w:r>
          </w:p>
        </w:tc>
        <w:tc>
          <w:tcPr>
            <w:tcW w:type="dxa" w:w="3638"/>
            <w:shd w:fill="F7F8FA" w:color="auto" w:val="clear"/>
            <w:tcMar>
              <w:top w:type="dxa" w:w="60"/>
              <w:left w:type="dxa" w:w="100"/>
              <w:bottom w:type="dxa" w:w="60"/>
              <w:right w:type="dxa" w:w="100"/>
            </w:tcMar>
          </w:tcPr>
          <w:p>
            <w:pPr>
              <w:spacing w:after="20" w:before="20"/>
            </w:pPr>
            <w:r>
              <w:rPr>
                <w:sz w:val="19"/>
                <w:szCs w:val="19"/>
              </w:rPr>
              <w:t xml:space="preserve">PR pipeline duration, 95th percentile</w:t>
            </w:r>
          </w:p>
        </w:tc>
        <w:tc>
          <w:tcPr>
            <w:tcW w:type="dxa" w:w="1780"/>
            <w:shd w:fill="F7F8FA" w:color="auto" w:val="clear"/>
            <w:tcMar>
              <w:top w:type="dxa" w:w="60"/>
              <w:left w:type="dxa" w:w="100"/>
              <w:bottom w:type="dxa" w:w="60"/>
              <w:right w:type="dxa" w:w="100"/>
            </w:tcMar>
          </w:tcPr>
          <w:p>
            <w:pPr>
              <w:spacing w:after="20" w:before="20"/>
            </w:pPr>
            <w:r>
              <w:rPr>
                <w:sz w:val="19"/>
                <w:szCs w:val="19"/>
              </w:rPr>
              <w:t xml:space="preserve">≤ 12 minutes</w:t>
            </w:r>
          </w:p>
        </w:tc>
      </w:tr>
      <w:tr>
        <w:tc>
          <w:tcPr>
            <w:tcW w:type="dxa" w:w="1071"/>
            <w:tcMar>
              <w:top w:type="dxa" w:w="60"/>
              <w:left w:type="dxa" w:w="100"/>
              <w:bottom w:type="dxa" w:w="60"/>
              <w:right w:type="dxa" w:w="100"/>
            </w:tcMar>
          </w:tcPr>
          <w:p>
            <w:pPr>
              <w:spacing w:after="20" w:before="20"/>
            </w:pPr>
            <w:r>
              <w:rPr>
                <w:sz w:val="19"/>
                <w:szCs w:val="19"/>
              </w:rPr>
              <w:t xml:space="preserve">3</w:t>
            </w:r>
          </w:p>
        </w:tc>
        <w:tc>
          <w:tcPr>
            <w:tcW w:type="dxa" w:w="3257"/>
            <w:tcMar>
              <w:top w:type="dxa" w:w="60"/>
              <w:left w:type="dxa" w:w="100"/>
              <w:bottom w:type="dxa" w:w="60"/>
              <w:right w:type="dxa" w:w="100"/>
            </w:tcMar>
          </w:tcPr>
          <w:p>
            <w:pPr>
              <w:spacing w:after="20" w:before="20"/>
            </w:pPr>
            <w:r>
              <w:rPr>
                <w:sz w:val="19"/>
                <w:szCs w:val="19"/>
              </w:rPr>
              <w:t xml:space="preserve">Sustainable regression cost</w:t>
            </w:r>
          </w:p>
        </w:tc>
        <w:tc>
          <w:tcPr>
            <w:tcW w:type="dxa" w:w="3638"/>
            <w:tcMar>
              <w:top w:type="dxa" w:w="60"/>
              <w:left w:type="dxa" w:w="100"/>
              <w:bottom w:type="dxa" w:w="60"/>
              <w:right w:type="dxa" w:w="100"/>
            </w:tcMar>
          </w:tcPr>
          <w:p>
            <w:pPr>
              <w:spacing w:after="20" w:before="20"/>
            </w:pPr>
            <w:r>
              <w:rPr>
                <w:sz w:val="19"/>
                <w:szCs w:val="19"/>
              </w:rPr>
              <w:t xml:space="preserve">Manual regression effort per release</w:t>
            </w:r>
          </w:p>
        </w:tc>
        <w:tc>
          <w:tcPr>
            <w:tcW w:type="dxa" w:w="1780"/>
            <w:tcMar>
              <w:top w:type="dxa" w:w="60"/>
              <w:left w:type="dxa" w:w="100"/>
              <w:bottom w:type="dxa" w:w="60"/>
              <w:right w:type="dxa" w:w="100"/>
            </w:tcMar>
          </w:tcPr>
          <w:p>
            <w:pPr>
              <w:spacing w:after="20" w:before="20"/>
            </w:pPr>
            <w:r>
              <w:rPr>
                <w:sz w:val="19"/>
                <w:szCs w:val="19"/>
              </w:rPr>
              <w:t xml:space="preserve">≤ 1 person-day</w:t>
            </w:r>
          </w:p>
        </w:tc>
      </w:tr>
      <w:tr>
        <w:tc>
          <w:tcPr>
            <w:tcW w:type="dxa" w:w="1071"/>
            <w:shd w:fill="F7F8FA" w:color="auto" w:val="clear"/>
            <w:tcMar>
              <w:top w:type="dxa" w:w="60"/>
              <w:left w:type="dxa" w:w="100"/>
              <w:bottom w:type="dxa" w:w="60"/>
              <w:right w:type="dxa" w:w="100"/>
            </w:tcMar>
          </w:tcPr>
          <w:p>
            <w:pPr>
              <w:spacing w:after="20" w:before="20"/>
            </w:pPr>
            <w:r>
              <w:rPr>
                <w:sz w:val="19"/>
                <w:szCs w:val="19"/>
              </w:rPr>
              <w:t xml:space="preserve">4</w:t>
            </w:r>
          </w:p>
        </w:tc>
        <w:tc>
          <w:tcPr>
            <w:tcW w:type="dxa" w:w="3257"/>
            <w:shd w:fill="F7F8FA" w:color="auto" w:val="clear"/>
            <w:tcMar>
              <w:top w:type="dxa" w:w="60"/>
              <w:left w:type="dxa" w:w="100"/>
              <w:bottom w:type="dxa" w:w="60"/>
              <w:right w:type="dxa" w:w="100"/>
            </w:tcMar>
          </w:tcPr>
          <w:p>
            <w:pPr>
              <w:spacing w:after="20" w:before="20"/>
            </w:pPr>
            <w:r>
              <w:rPr>
                <w:sz w:val="19"/>
                <w:szCs w:val="19"/>
              </w:rPr>
              <w:t xml:space="preserve">Reliable signal</w:t>
            </w:r>
          </w:p>
        </w:tc>
        <w:tc>
          <w:tcPr>
            <w:tcW w:type="dxa" w:w="3638"/>
            <w:shd w:fill="F7F8FA" w:color="auto" w:val="clear"/>
            <w:tcMar>
              <w:top w:type="dxa" w:w="60"/>
              <w:left w:type="dxa" w:w="100"/>
              <w:bottom w:type="dxa" w:w="60"/>
              <w:right w:type="dxa" w:w="100"/>
            </w:tcMar>
          </w:tcPr>
          <w:p>
            <w:pPr>
              <w:spacing w:after="20" w:before="20"/>
            </w:pPr>
            <w:r>
              <w:rPr>
                <w:sz w:val="19"/>
                <w:szCs w:val="19"/>
              </w:rPr>
              <w:t xml:space="preserve">Flaky test rate on main</w:t>
            </w:r>
          </w:p>
        </w:tc>
        <w:tc>
          <w:tcPr>
            <w:tcW w:type="dxa" w:w="1780"/>
            <w:shd w:fill="F7F8FA" w:color="auto" w:val="clear"/>
            <w:tcMar>
              <w:top w:type="dxa" w:w="60"/>
              <w:left w:type="dxa" w:w="100"/>
              <w:bottom w:type="dxa" w:w="60"/>
              <w:right w:type="dxa" w:w="100"/>
            </w:tcMar>
          </w:tcPr>
          <w:p>
            <w:pPr>
              <w:spacing w:after="20" w:before="20"/>
            </w:pPr>
            <w:r>
              <w:rPr>
                <w:sz w:val="19"/>
                <w:szCs w:val="19"/>
              </w:rPr>
              <w:t xml:space="preserve">&lt; 1% of runs</w:t>
            </w:r>
          </w:p>
        </w:tc>
      </w:tr>
      <w:tr>
        <w:tc>
          <w:tcPr>
            <w:tcW w:type="dxa" w:w="1071"/>
            <w:tcMar>
              <w:top w:type="dxa" w:w="60"/>
              <w:left w:type="dxa" w:w="100"/>
              <w:bottom w:type="dxa" w:w="60"/>
              <w:right w:type="dxa" w:w="100"/>
            </w:tcMar>
          </w:tcPr>
          <w:p>
            <w:pPr>
              <w:spacing w:after="20" w:before="20"/>
            </w:pPr>
            <w:r>
              <w:rPr>
                <w:sz w:val="19"/>
                <w:szCs w:val="19"/>
              </w:rPr>
              <w:t xml:space="preserve">5</w:t>
            </w:r>
          </w:p>
        </w:tc>
        <w:tc>
          <w:tcPr>
            <w:tcW w:type="dxa" w:w="3257"/>
            <w:tcMar>
              <w:top w:type="dxa" w:w="60"/>
              <w:left w:type="dxa" w:w="100"/>
              <w:bottom w:type="dxa" w:w="60"/>
              <w:right w:type="dxa" w:w="100"/>
            </w:tcMar>
          </w:tcPr>
          <w:p>
            <w:pPr>
              <w:spacing w:after="20" w:before="20"/>
            </w:pPr>
            <w:r>
              <w:rPr>
                <w:sz w:val="19"/>
                <w:szCs w:val="19"/>
              </w:rPr>
              <w:t xml:space="preserve">Catch issues before customers do</w:t>
            </w:r>
          </w:p>
        </w:tc>
        <w:tc>
          <w:tcPr>
            <w:tcW w:type="dxa" w:w="3638"/>
            <w:tcMar>
              <w:top w:type="dxa" w:w="60"/>
              <w:left w:type="dxa" w:w="100"/>
              <w:bottom w:type="dxa" w:w="60"/>
              <w:right w:type="dxa" w:w="100"/>
            </w:tcMar>
          </w:tcPr>
          <w:p>
            <w:pPr>
              <w:spacing w:after="20" w:before="20"/>
            </w:pPr>
            <w:r>
              <w:rPr>
                <w:sz w:val="19"/>
                <w:szCs w:val="19"/>
              </w:rPr>
              <w:t xml:space="preserve">Share of S1/S2 found pre-production</w:t>
            </w:r>
          </w:p>
        </w:tc>
        <w:tc>
          <w:tcPr>
            <w:tcW w:type="dxa" w:w="1780"/>
            <w:tcMar>
              <w:top w:type="dxa" w:w="60"/>
              <w:left w:type="dxa" w:w="100"/>
              <w:bottom w:type="dxa" w:w="60"/>
              <w:right w:type="dxa" w:w="100"/>
            </w:tcMar>
          </w:tcPr>
          <w:p>
            <w:pPr>
              <w:spacing w:after="20" w:before="20"/>
            </w:pPr>
            <w:r>
              <w:rPr>
                <w:sz w:val="19"/>
                <w:szCs w:val="19"/>
              </w:rPr>
              <w:t xml:space="preserve">≥ 95%</w:t>
            </w:r>
          </w:p>
        </w:tc>
      </w:tr>
      <w:tr>
        <w:tc>
          <w:tcPr>
            <w:tcW w:type="dxa" w:w="1071"/>
            <w:shd w:fill="F7F8FA" w:color="auto" w:val="clear"/>
            <w:tcMar>
              <w:top w:type="dxa" w:w="60"/>
              <w:left w:type="dxa" w:w="100"/>
              <w:bottom w:type="dxa" w:w="60"/>
              <w:right w:type="dxa" w:w="100"/>
            </w:tcMar>
          </w:tcPr>
          <w:p>
            <w:pPr>
              <w:spacing w:after="20" w:before="20"/>
            </w:pPr>
            <w:r>
              <w:rPr>
                <w:sz w:val="19"/>
                <w:szCs w:val="19"/>
              </w:rPr>
              <w:t xml:space="preserve">6</w:t>
            </w:r>
          </w:p>
        </w:tc>
        <w:tc>
          <w:tcPr>
            <w:tcW w:type="dxa" w:w="3257"/>
            <w:shd w:fill="F7F8FA" w:color="auto" w:val="clear"/>
            <w:tcMar>
              <w:top w:type="dxa" w:w="60"/>
              <w:left w:type="dxa" w:w="100"/>
              <w:bottom w:type="dxa" w:w="60"/>
              <w:right w:type="dxa" w:w="100"/>
            </w:tcMar>
          </w:tcPr>
          <w:p>
            <w:pPr>
              <w:spacing w:after="20" w:before="20"/>
            </w:pPr>
            <w:r>
              <w:rPr>
                <w:sz w:val="19"/>
                <w:szCs w:val="19"/>
              </w:rPr>
              <w:t xml:space="preserve">Accessible product</w:t>
            </w:r>
          </w:p>
        </w:tc>
        <w:tc>
          <w:tcPr>
            <w:tcW w:type="dxa" w:w="3638"/>
            <w:shd w:fill="F7F8FA" w:color="auto" w:val="clear"/>
            <w:tcMar>
              <w:top w:type="dxa" w:w="60"/>
              <w:left w:type="dxa" w:w="100"/>
              <w:bottom w:type="dxa" w:w="60"/>
              <w:right w:type="dxa" w:w="100"/>
            </w:tcMar>
          </w:tcPr>
          <w:p>
            <w:pPr>
              <w:spacing w:after="20" w:before="20"/>
            </w:pPr>
            <w:r>
              <w:rPr>
                <w:sz w:val="19"/>
                <w:szCs w:val="19"/>
              </w:rPr>
              <w:t xml:space="preserve">WCAG 2.2 AA violations on the eight core journeys</w:t>
            </w:r>
          </w:p>
        </w:tc>
        <w:tc>
          <w:tcPr>
            <w:tcW w:type="dxa" w:w="1780"/>
            <w:shd w:fill="F7F8FA" w:color="auto" w:val="clear"/>
            <w:tcMar>
              <w:top w:type="dxa" w:w="60"/>
              <w:left w:type="dxa" w:w="100"/>
              <w:bottom w:type="dxa" w:w="60"/>
              <w:right w:type="dxa" w:w="100"/>
            </w:tcMar>
          </w:tcPr>
          <w:p>
            <w:pPr>
              <w:spacing w:after="20" w:before="20"/>
            </w:pPr>
            <w:r>
              <w:rPr>
                <w:sz w:val="19"/>
                <w:szCs w:val="19"/>
              </w:rPr>
              <w:t xml:space="preserve">0</w:t>
            </w:r>
          </w:p>
        </w:tc>
      </w:tr>
    </w:tbl>
    <w:p>
      <w:pPr>
        <w:spacing w:after="200"/>
      </w:pPr>
    </w:p>
    <w:p>
      <w:pPr>
        <w:spacing w:after="120" w:before="60" w:line="280"/>
      </w:pPr>
      <w:r>
        <w:rPr>
          <w:sz w:val="21"/>
          <w:szCs w:val="21"/>
        </w:rPr>
        <w:t xml:space="preserve">Objectives are reviewed at the quarterly quality review; targets are adjusted deliberately, not silently.</w:t>
      </w:r>
    </w:p>
    <w:p>
      <w:pPr>
        <w:pStyle w:val="Heading2"/>
        <w:keepNext/>
        <w:spacing w:after="140" w:before="320"/>
      </w:pPr>
      <w:r>
        <w:rPr>
          <w:b/>
          <w:bCs/>
          <w:color w:val="1F3864"/>
          <w:sz w:val="25"/>
          <w:szCs w:val="25"/>
        </w:rPr>
        <w:t xml:space="preserve">4. Test Approach</w:t>
      </w:r>
    </w:p>
    <w:p>
      <w:pPr>
        <w:pStyle w:val="Heading3"/>
        <w:keepNext/>
        <w:spacing w:after="100" w:before="220"/>
      </w:pPr>
      <w:r>
        <w:rPr>
          <w:b/>
          <w:bCs/>
          <w:color w:val="2F5496"/>
          <w:sz w:val="22"/>
          <w:szCs w:val="22"/>
        </w:rPr>
        <w:t xml:space="preserve">4.1 Principles</w:t>
      </w:r>
    </w:p>
    <w:p>
      <w:pPr>
        <w:pStyle w:val="ListParagraph"/>
        <w:numPr>
          <w:ilvl w:val="0"/>
          <w:numId w:val="2"/>
        </w:numPr>
        <w:spacing w:after="40" w:before="40"/>
      </w:pPr>
      <w:r>
        <w:rPr>
          <w:b/>
          <w:bCs/>
          <w:sz w:val="21"/>
          <w:szCs w:val="21"/>
        </w:rPr>
        <w:t xml:space="preserve">The squad owns quality.</w:t>
      </w:r>
      <w:r>
        <w:rPr>
          <w:sz w:val="21"/>
          <w:szCs w:val="21"/>
        </w:rPr>
        <w:t xml:space="preserve"> The QA engineer coaches, designs, and covers the hard parts; they are not a gate the team throws work over.</w:t>
      </w:r>
    </w:p>
    <w:p>
      <w:pPr>
        <w:pStyle w:val="ListParagraph"/>
        <w:numPr>
          <w:ilvl w:val="0"/>
          <w:numId w:val="2"/>
        </w:numPr>
        <w:spacing w:after="40" w:before="40"/>
      </w:pPr>
      <w:r>
        <w:rPr>
          <w:b/>
          <w:bCs/>
          <w:sz w:val="21"/>
          <w:szCs w:val="21"/>
        </w:rPr>
        <w:t xml:space="preserve">Test as close to the change as possible.</w:t>
      </w:r>
      <w:r>
        <w:rPr>
          <w:sz w:val="21"/>
          <w:szCs w:val="21"/>
        </w:rPr>
        <w:t xml:space="preserve"> A bug catchable by a unit test should never be found by an end-to-end test.</w:t>
      </w:r>
    </w:p>
    <w:p>
      <w:pPr>
        <w:pStyle w:val="ListParagraph"/>
        <w:numPr>
          <w:ilvl w:val="0"/>
          <w:numId w:val="2"/>
        </w:numPr>
        <w:spacing w:after="40" w:before="40"/>
      </w:pPr>
      <w:r>
        <w:rPr>
          <w:b/>
          <w:bCs/>
          <w:sz w:val="21"/>
          <w:szCs w:val="21"/>
        </w:rPr>
        <w:t xml:space="preserve">Automate regression; explore new behaviour.</w:t>
      </w:r>
      <w:r>
        <w:rPr>
          <w:sz w:val="21"/>
          <w:szCs w:val="21"/>
        </w:rPr>
        <w:t xml:space="preserve"> Humans are spent on judgement, not repetition.</w:t>
      </w:r>
    </w:p>
    <w:p>
      <w:pPr>
        <w:pStyle w:val="ListParagraph"/>
        <w:numPr>
          <w:ilvl w:val="0"/>
          <w:numId w:val="2"/>
        </w:numPr>
        <w:spacing w:after="40" w:before="40"/>
      </w:pPr>
      <w:r>
        <w:rPr>
          <w:b/>
          <w:bCs/>
          <w:sz w:val="21"/>
          <w:szCs w:val="21"/>
        </w:rPr>
        <w:t xml:space="preserve">Risk drives depth.</w:t>
      </w:r>
      <w:r>
        <w:rPr>
          <w:sz w:val="21"/>
          <w:szCs w:val="21"/>
        </w:rPr>
        <w:t xml:space="preserve"> Payments gets far more scrutiny than settings screens, and that asymmetry is intentional.</w:t>
      </w:r>
    </w:p>
    <w:p>
      <w:pPr>
        <w:pStyle w:val="ListParagraph"/>
        <w:numPr>
          <w:ilvl w:val="0"/>
          <w:numId w:val="2"/>
        </w:numPr>
        <w:spacing w:after="40" w:before="40"/>
      </w:pPr>
      <w:r>
        <w:rPr>
          <w:b/>
          <w:bCs/>
          <w:sz w:val="21"/>
          <w:szCs w:val="21"/>
        </w:rPr>
        <w:t xml:space="preserve">No separate hardening sprint.</w:t>
      </w:r>
      <w:r>
        <w:rPr>
          <w:sz w:val="21"/>
          <w:szCs w:val="21"/>
        </w:rPr>
        <w:t xml:space="preserve"> A story is done or it is not.</w:t>
      </w:r>
    </w:p>
    <w:p>
      <w:pPr>
        <w:pStyle w:val="Heading3"/>
        <w:keepNext/>
        <w:spacing w:after="100" w:before="220"/>
      </w:pPr>
      <w:r>
        <w:rPr>
          <w:b/>
          <w:bCs/>
          <w:color w:val="2F5496"/>
          <w:sz w:val="22"/>
          <w:szCs w:val="22"/>
        </w:rPr>
        <w:t xml:space="preserve">4.2 Test levels</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1468"/>
        <w:gridCol w:w="2816"/>
        <w:gridCol w:w="1636"/>
        <w:gridCol w:w="2023"/>
        <w:gridCol w:w="1803"/>
      </w:tblGrid>
      <w:tr>
        <w:trPr>
          <w:tblHeader/>
        </w:trPr>
        <w:tc>
          <w:tcPr>
            <w:tcW w:type="dxa" w:w="1468"/>
            <w:shd w:fill="E7EBF3" w:color="auto" w:val="clear"/>
            <w:tcMar>
              <w:top w:type="dxa" w:w="60"/>
              <w:left w:type="dxa" w:w="100"/>
              <w:bottom w:type="dxa" w:w="60"/>
              <w:right w:type="dxa" w:w="100"/>
            </w:tcMar>
          </w:tcPr>
          <w:p>
            <w:pPr>
              <w:spacing w:after="20" w:before="20"/>
            </w:pPr>
            <w:r>
              <w:rPr>
                <w:b/>
                <w:bCs/>
                <w:color w:val="1F3864"/>
                <w:sz w:val="19"/>
                <w:szCs w:val="19"/>
              </w:rPr>
              <w:t xml:space="preserve">Level</w:t>
            </w:r>
          </w:p>
        </w:tc>
        <w:tc>
          <w:tcPr>
            <w:tcW w:type="dxa" w:w="2816"/>
            <w:shd w:fill="E7EBF3" w:color="auto" w:val="clear"/>
            <w:tcMar>
              <w:top w:type="dxa" w:w="60"/>
              <w:left w:type="dxa" w:w="100"/>
              <w:bottom w:type="dxa" w:w="60"/>
              <w:right w:type="dxa" w:w="100"/>
            </w:tcMar>
          </w:tcPr>
          <w:p>
            <w:pPr>
              <w:spacing w:after="20" w:before="20"/>
            </w:pPr>
            <w:r>
              <w:rPr>
                <w:b/>
                <w:bCs/>
                <w:color w:val="1F3864"/>
                <w:sz w:val="19"/>
                <w:szCs w:val="19"/>
              </w:rPr>
              <w:t xml:space="preserve">Purpose</w:t>
            </w:r>
          </w:p>
        </w:tc>
        <w:tc>
          <w:tcPr>
            <w:tcW w:type="dxa" w:w="1636"/>
            <w:shd w:fill="E7EBF3" w:color="auto" w:val="clear"/>
            <w:tcMar>
              <w:top w:type="dxa" w:w="60"/>
              <w:left w:type="dxa" w:w="100"/>
              <w:bottom w:type="dxa" w:w="60"/>
              <w:right w:type="dxa" w:w="100"/>
            </w:tcMar>
          </w:tcPr>
          <w:p>
            <w:pPr>
              <w:spacing w:after="20" w:before="20"/>
            </w:pPr>
            <w:r>
              <w:rPr>
                <w:b/>
                <w:bCs/>
                <w:color w:val="1F3864"/>
                <w:sz w:val="19"/>
                <w:szCs w:val="19"/>
              </w:rPr>
              <w:t xml:space="preserve">Owner</w:t>
            </w:r>
          </w:p>
        </w:tc>
        <w:tc>
          <w:tcPr>
            <w:tcW w:type="dxa" w:w="2023"/>
            <w:shd w:fill="E7EBF3" w:color="auto" w:val="clear"/>
            <w:tcMar>
              <w:top w:type="dxa" w:w="60"/>
              <w:left w:type="dxa" w:w="100"/>
              <w:bottom w:type="dxa" w:w="60"/>
              <w:right w:type="dxa" w:w="100"/>
            </w:tcMar>
          </w:tcPr>
          <w:p>
            <w:pPr>
              <w:spacing w:after="20" w:before="20"/>
            </w:pPr>
            <w:r>
              <w:rPr>
                <w:b/>
                <w:bCs/>
                <w:color w:val="1F3864"/>
                <w:sz w:val="19"/>
                <w:szCs w:val="19"/>
              </w:rPr>
              <w:t xml:space="preserve">Trigger</w:t>
            </w:r>
          </w:p>
        </w:tc>
        <w:tc>
          <w:tcPr>
            <w:tcW w:type="dxa" w:w="1803"/>
            <w:shd w:fill="E7EBF3" w:color="auto" w:val="clear"/>
            <w:tcMar>
              <w:top w:type="dxa" w:w="60"/>
              <w:left w:type="dxa" w:w="100"/>
              <w:bottom w:type="dxa" w:w="60"/>
              <w:right w:type="dxa" w:w="100"/>
            </w:tcMar>
          </w:tcPr>
          <w:p>
            <w:pPr>
              <w:spacing w:after="20" w:before="20"/>
            </w:pPr>
            <w:r>
              <w:rPr>
                <w:b/>
                <w:bCs/>
                <w:color w:val="1F3864"/>
                <w:sz w:val="19"/>
                <w:szCs w:val="19"/>
              </w:rPr>
              <w:t xml:space="preserve">Tooling</w:t>
            </w:r>
          </w:p>
        </w:tc>
      </w:tr>
      <w:tr>
        <w:tc>
          <w:tcPr>
            <w:tcW w:type="dxa" w:w="1468"/>
            <w:tcMar>
              <w:top w:type="dxa" w:w="60"/>
              <w:left w:type="dxa" w:w="100"/>
              <w:bottom w:type="dxa" w:w="60"/>
              <w:right w:type="dxa" w:w="100"/>
            </w:tcMar>
          </w:tcPr>
          <w:p>
            <w:pPr>
              <w:spacing w:after="20" w:before="20"/>
            </w:pPr>
            <w:r>
              <w:rPr>
                <w:sz w:val="19"/>
                <w:szCs w:val="19"/>
              </w:rPr>
              <w:t xml:space="preserve">Unit</w:t>
            </w:r>
          </w:p>
        </w:tc>
        <w:tc>
          <w:tcPr>
            <w:tcW w:type="dxa" w:w="2816"/>
            <w:tcMar>
              <w:top w:type="dxa" w:w="60"/>
              <w:left w:type="dxa" w:w="100"/>
              <w:bottom w:type="dxa" w:w="60"/>
              <w:right w:type="dxa" w:w="100"/>
            </w:tcMar>
          </w:tcPr>
          <w:p>
            <w:pPr>
              <w:spacing w:after="20" w:before="20"/>
            </w:pPr>
            <w:r>
              <w:rPr>
                <w:sz w:val="19"/>
                <w:szCs w:val="19"/>
              </w:rPr>
              <w:t xml:space="preserve">Logic, branches, edge cases in isolation</w:t>
            </w:r>
          </w:p>
        </w:tc>
        <w:tc>
          <w:tcPr>
            <w:tcW w:type="dxa" w:w="1636"/>
            <w:tcMar>
              <w:top w:type="dxa" w:w="60"/>
              <w:left w:type="dxa" w:w="100"/>
              <w:bottom w:type="dxa" w:w="60"/>
              <w:right w:type="dxa" w:w="100"/>
            </w:tcMar>
          </w:tcPr>
          <w:p>
            <w:pPr>
              <w:spacing w:after="20" w:before="20"/>
            </w:pPr>
            <w:r>
              <w:rPr>
                <w:sz w:val="19"/>
                <w:szCs w:val="19"/>
              </w:rPr>
              <w:t xml:space="preserve">Developer</w:t>
            </w:r>
          </w:p>
        </w:tc>
        <w:tc>
          <w:tcPr>
            <w:tcW w:type="dxa" w:w="2023"/>
            <w:tcMar>
              <w:top w:type="dxa" w:w="60"/>
              <w:left w:type="dxa" w:w="100"/>
              <w:bottom w:type="dxa" w:w="60"/>
              <w:right w:type="dxa" w:w="100"/>
            </w:tcMar>
          </w:tcPr>
          <w:p>
            <w:pPr>
              <w:spacing w:after="20" w:before="20"/>
            </w:pPr>
            <w:r>
              <w:rPr>
                <w:sz w:val="19"/>
                <w:szCs w:val="19"/>
              </w:rPr>
              <w:t xml:space="preserve">Every commit</w:t>
            </w:r>
          </w:p>
        </w:tc>
        <w:tc>
          <w:tcPr>
            <w:tcW w:type="dxa" w:w="1803"/>
            <w:tcMar>
              <w:top w:type="dxa" w:w="60"/>
              <w:left w:type="dxa" w:w="100"/>
              <w:bottom w:type="dxa" w:w="60"/>
              <w:right w:type="dxa" w:w="100"/>
            </w:tcMar>
          </w:tcPr>
          <w:p>
            <w:pPr>
              <w:spacing w:after="20" w:before="20"/>
            </w:pPr>
            <w:r>
              <w:rPr>
                <w:sz w:val="19"/>
                <w:szCs w:val="19"/>
              </w:rPr>
              <w:t xml:space="preserve">Jest, JUnit 5</w:t>
            </w:r>
          </w:p>
        </w:tc>
      </w:tr>
      <w:tr>
        <w:tc>
          <w:tcPr>
            <w:tcW w:type="dxa" w:w="1468"/>
            <w:shd w:fill="F7F8FA" w:color="auto" w:val="clear"/>
            <w:tcMar>
              <w:top w:type="dxa" w:w="60"/>
              <w:left w:type="dxa" w:w="100"/>
              <w:bottom w:type="dxa" w:w="60"/>
              <w:right w:type="dxa" w:w="100"/>
            </w:tcMar>
          </w:tcPr>
          <w:p>
            <w:pPr>
              <w:spacing w:after="20" w:before="20"/>
            </w:pPr>
            <w:r>
              <w:rPr>
                <w:sz w:val="19"/>
                <w:szCs w:val="19"/>
              </w:rPr>
              <w:t xml:space="preserve">Component</w:t>
            </w:r>
          </w:p>
        </w:tc>
        <w:tc>
          <w:tcPr>
            <w:tcW w:type="dxa" w:w="2816"/>
            <w:shd w:fill="F7F8FA" w:color="auto" w:val="clear"/>
            <w:tcMar>
              <w:top w:type="dxa" w:w="60"/>
              <w:left w:type="dxa" w:w="100"/>
              <w:bottom w:type="dxa" w:w="60"/>
              <w:right w:type="dxa" w:w="100"/>
            </w:tcMar>
          </w:tcPr>
          <w:p>
            <w:pPr>
              <w:spacing w:after="20" w:before="20"/>
            </w:pPr>
            <w:r>
              <w:rPr>
                <w:sz w:val="19"/>
                <w:szCs w:val="19"/>
              </w:rPr>
              <w:t xml:space="preserve">A service with its own DB, dependencies stubbed</w:t>
            </w:r>
          </w:p>
        </w:tc>
        <w:tc>
          <w:tcPr>
            <w:tcW w:type="dxa" w:w="1636"/>
            <w:shd w:fill="F7F8FA" w:color="auto" w:val="clear"/>
            <w:tcMar>
              <w:top w:type="dxa" w:w="60"/>
              <w:left w:type="dxa" w:w="100"/>
              <w:bottom w:type="dxa" w:w="60"/>
              <w:right w:type="dxa" w:w="100"/>
            </w:tcMar>
          </w:tcPr>
          <w:p>
            <w:pPr>
              <w:spacing w:after="20" w:before="20"/>
            </w:pPr>
            <w:r>
              <w:rPr>
                <w:sz w:val="19"/>
                <w:szCs w:val="19"/>
              </w:rPr>
              <w:t xml:space="preserve">Developer</w:t>
            </w:r>
          </w:p>
        </w:tc>
        <w:tc>
          <w:tcPr>
            <w:tcW w:type="dxa" w:w="2023"/>
            <w:shd w:fill="F7F8FA" w:color="auto" w:val="clear"/>
            <w:tcMar>
              <w:top w:type="dxa" w:w="60"/>
              <w:left w:type="dxa" w:w="100"/>
              <w:bottom w:type="dxa" w:w="60"/>
              <w:right w:type="dxa" w:w="100"/>
            </w:tcMar>
          </w:tcPr>
          <w:p>
            <w:pPr>
              <w:spacing w:after="20" w:before="20"/>
            </w:pPr>
            <w:r>
              <w:rPr>
                <w:sz w:val="19"/>
                <w:szCs w:val="19"/>
              </w:rPr>
              <w:t xml:space="preserve">Every PR</w:t>
            </w:r>
          </w:p>
        </w:tc>
        <w:tc>
          <w:tcPr>
            <w:tcW w:type="dxa" w:w="1803"/>
            <w:shd w:fill="F7F8FA" w:color="auto" w:val="clear"/>
            <w:tcMar>
              <w:top w:type="dxa" w:w="60"/>
              <w:left w:type="dxa" w:w="100"/>
              <w:bottom w:type="dxa" w:w="60"/>
              <w:right w:type="dxa" w:w="100"/>
            </w:tcMar>
          </w:tcPr>
          <w:p>
            <w:pPr>
              <w:spacing w:after="20" w:before="20"/>
            </w:pPr>
            <w:r>
              <w:rPr>
                <w:sz w:val="19"/>
                <w:szCs w:val="19"/>
              </w:rPr>
              <w:t xml:space="preserve">Testcontainers</w:t>
            </w:r>
          </w:p>
        </w:tc>
      </w:tr>
      <w:tr>
        <w:tc>
          <w:tcPr>
            <w:tcW w:type="dxa" w:w="1468"/>
            <w:tcMar>
              <w:top w:type="dxa" w:w="60"/>
              <w:left w:type="dxa" w:w="100"/>
              <w:bottom w:type="dxa" w:w="60"/>
              <w:right w:type="dxa" w:w="100"/>
            </w:tcMar>
          </w:tcPr>
          <w:p>
            <w:pPr>
              <w:spacing w:after="20" w:before="20"/>
            </w:pPr>
            <w:r>
              <w:rPr>
                <w:sz w:val="19"/>
                <w:szCs w:val="19"/>
              </w:rPr>
              <w:t xml:space="preserve">Contract</w:t>
            </w:r>
          </w:p>
        </w:tc>
        <w:tc>
          <w:tcPr>
            <w:tcW w:type="dxa" w:w="2816"/>
            <w:tcMar>
              <w:top w:type="dxa" w:w="60"/>
              <w:left w:type="dxa" w:w="100"/>
              <w:bottom w:type="dxa" w:w="60"/>
              <w:right w:type="dxa" w:w="100"/>
            </w:tcMar>
          </w:tcPr>
          <w:p>
            <w:pPr>
              <w:spacing w:after="20" w:before="20"/>
            </w:pPr>
            <w:r>
              <w:rPr>
                <w:sz w:val="19"/>
                <w:szCs w:val="19"/>
              </w:rPr>
              <w:t xml:space="preserve">Producer/consumer compatibility</w:t>
            </w:r>
          </w:p>
        </w:tc>
        <w:tc>
          <w:tcPr>
            <w:tcW w:type="dxa" w:w="1636"/>
            <w:tcMar>
              <w:top w:type="dxa" w:w="60"/>
              <w:left w:type="dxa" w:w="100"/>
              <w:bottom w:type="dxa" w:w="60"/>
              <w:right w:type="dxa" w:w="100"/>
            </w:tcMar>
          </w:tcPr>
          <w:p>
            <w:pPr>
              <w:spacing w:after="20" w:before="20"/>
            </w:pPr>
            <w:r>
              <w:rPr>
                <w:sz w:val="19"/>
                <w:szCs w:val="19"/>
              </w:rPr>
              <w:t xml:space="preserve">Both sides</w:t>
            </w:r>
          </w:p>
        </w:tc>
        <w:tc>
          <w:tcPr>
            <w:tcW w:type="dxa" w:w="2023"/>
            <w:tcMar>
              <w:top w:type="dxa" w:w="60"/>
              <w:left w:type="dxa" w:w="100"/>
              <w:bottom w:type="dxa" w:w="60"/>
              <w:right w:type="dxa" w:w="100"/>
            </w:tcMar>
          </w:tcPr>
          <w:p>
            <w:pPr>
              <w:spacing w:after="20" w:before="20"/>
            </w:pPr>
            <w:r>
              <w:rPr>
                <w:sz w:val="19"/>
                <w:szCs w:val="19"/>
              </w:rPr>
              <w:t xml:space="preserve">Every PR + nightly</w:t>
            </w:r>
          </w:p>
        </w:tc>
        <w:tc>
          <w:tcPr>
            <w:tcW w:type="dxa" w:w="1803"/>
            <w:tcMar>
              <w:top w:type="dxa" w:w="60"/>
              <w:left w:type="dxa" w:w="100"/>
              <w:bottom w:type="dxa" w:w="60"/>
              <w:right w:type="dxa" w:w="100"/>
            </w:tcMar>
          </w:tcPr>
          <w:p>
            <w:pPr>
              <w:spacing w:after="20" w:before="20"/>
            </w:pPr>
            <w:r>
              <w:rPr>
                <w:sz w:val="19"/>
                <w:szCs w:val="19"/>
              </w:rPr>
              <w:t xml:space="preserve">Pact broker</w:t>
            </w:r>
          </w:p>
        </w:tc>
      </w:tr>
      <w:tr>
        <w:tc>
          <w:tcPr>
            <w:tcW w:type="dxa" w:w="1468"/>
            <w:shd w:fill="F7F8FA" w:color="auto" w:val="clear"/>
            <w:tcMar>
              <w:top w:type="dxa" w:w="60"/>
              <w:left w:type="dxa" w:w="100"/>
              <w:bottom w:type="dxa" w:w="60"/>
              <w:right w:type="dxa" w:w="100"/>
            </w:tcMar>
          </w:tcPr>
          <w:p>
            <w:pPr>
              <w:spacing w:after="20" w:before="20"/>
            </w:pPr>
            <w:r>
              <w:rPr>
                <w:sz w:val="19"/>
                <w:szCs w:val="19"/>
              </w:rPr>
              <w:t xml:space="preserve">API integration</w:t>
            </w:r>
          </w:p>
        </w:tc>
        <w:tc>
          <w:tcPr>
            <w:tcW w:type="dxa" w:w="2816"/>
            <w:shd w:fill="F7F8FA" w:color="auto" w:val="clear"/>
            <w:tcMar>
              <w:top w:type="dxa" w:w="60"/>
              <w:left w:type="dxa" w:w="100"/>
              <w:bottom w:type="dxa" w:w="60"/>
              <w:right w:type="dxa" w:w="100"/>
            </w:tcMar>
          </w:tcPr>
          <w:p>
            <w:pPr>
              <w:spacing w:after="20" w:before="20"/>
            </w:pPr>
            <w:r>
              <w:rPr>
                <w:sz w:val="19"/>
                <w:szCs w:val="19"/>
              </w:rPr>
              <w:t xml:space="preserve">Journeys across services on a live test stack</w:t>
            </w:r>
          </w:p>
        </w:tc>
        <w:tc>
          <w:tcPr>
            <w:tcW w:type="dxa" w:w="1636"/>
            <w:shd w:fill="F7F8FA" w:color="auto" w:val="clear"/>
            <w:tcMar>
              <w:top w:type="dxa" w:w="60"/>
              <w:left w:type="dxa" w:w="100"/>
              <w:bottom w:type="dxa" w:w="60"/>
              <w:right w:type="dxa" w:w="100"/>
            </w:tcMar>
          </w:tcPr>
          <w:p>
            <w:pPr>
              <w:spacing w:after="20" w:before="20"/>
            </w:pPr>
            <w:r>
              <w:rPr>
                <w:sz w:val="19"/>
                <w:szCs w:val="19"/>
              </w:rPr>
              <w:t xml:space="preserve">QA</w:t>
            </w:r>
          </w:p>
        </w:tc>
        <w:tc>
          <w:tcPr>
            <w:tcW w:type="dxa" w:w="2023"/>
            <w:shd w:fill="F7F8FA" w:color="auto" w:val="clear"/>
            <w:tcMar>
              <w:top w:type="dxa" w:w="60"/>
              <w:left w:type="dxa" w:w="100"/>
              <w:bottom w:type="dxa" w:w="60"/>
              <w:right w:type="dxa" w:w="100"/>
            </w:tcMar>
          </w:tcPr>
          <w:p>
            <w:pPr>
              <w:spacing w:after="20" w:before="20"/>
            </w:pPr>
            <w:r>
              <w:rPr>
                <w:sz w:val="19"/>
                <w:szCs w:val="19"/>
              </w:rPr>
              <w:t xml:space="preserve">Merge to main</w:t>
            </w:r>
          </w:p>
        </w:tc>
        <w:tc>
          <w:tcPr>
            <w:tcW w:type="dxa" w:w="1803"/>
            <w:shd w:fill="F7F8FA" w:color="auto" w:val="clear"/>
            <w:tcMar>
              <w:top w:type="dxa" w:w="60"/>
              <w:left w:type="dxa" w:w="100"/>
              <w:bottom w:type="dxa" w:w="60"/>
              <w:right w:type="dxa" w:w="100"/>
            </w:tcMar>
          </w:tcPr>
          <w:p>
            <w:pPr>
              <w:spacing w:after="20" w:before="20"/>
            </w:pPr>
            <w:r>
              <w:rPr>
                <w:sz w:val="19"/>
                <w:szCs w:val="19"/>
              </w:rPr>
              <w:t xml:space="preserve">REST Assured</w:t>
            </w:r>
          </w:p>
        </w:tc>
      </w:tr>
      <w:tr>
        <w:tc>
          <w:tcPr>
            <w:tcW w:type="dxa" w:w="1468"/>
            <w:tcMar>
              <w:top w:type="dxa" w:w="60"/>
              <w:left w:type="dxa" w:w="100"/>
              <w:bottom w:type="dxa" w:w="60"/>
              <w:right w:type="dxa" w:w="100"/>
            </w:tcMar>
          </w:tcPr>
          <w:p>
            <w:pPr>
              <w:spacing w:after="20" w:before="20"/>
            </w:pPr>
            <w:r>
              <w:rPr>
                <w:sz w:val="19"/>
                <w:szCs w:val="19"/>
              </w:rPr>
              <w:t xml:space="preserve">End-to-end UI</w:t>
            </w:r>
          </w:p>
        </w:tc>
        <w:tc>
          <w:tcPr>
            <w:tcW w:type="dxa" w:w="2816"/>
            <w:tcMar>
              <w:top w:type="dxa" w:w="60"/>
              <w:left w:type="dxa" w:w="100"/>
              <w:bottom w:type="dxa" w:w="60"/>
              <w:right w:type="dxa" w:w="100"/>
            </w:tcMar>
          </w:tcPr>
          <w:p>
            <w:pPr>
              <w:spacing w:after="20" w:before="20"/>
            </w:pPr>
            <w:r>
              <w:rPr>
                <w:sz w:val="19"/>
                <w:szCs w:val="19"/>
              </w:rPr>
              <w:t xml:space="preserve">Eight critical customer journeys only</w:t>
            </w:r>
          </w:p>
        </w:tc>
        <w:tc>
          <w:tcPr>
            <w:tcW w:type="dxa" w:w="1636"/>
            <w:tcMar>
              <w:top w:type="dxa" w:w="60"/>
              <w:left w:type="dxa" w:w="100"/>
              <w:bottom w:type="dxa" w:w="60"/>
              <w:right w:type="dxa" w:w="100"/>
            </w:tcMar>
          </w:tcPr>
          <w:p>
            <w:pPr>
              <w:spacing w:after="20" w:before="20"/>
            </w:pPr>
            <w:r>
              <w:rPr>
                <w:sz w:val="19"/>
                <w:szCs w:val="19"/>
              </w:rPr>
              <w:t xml:space="preserve">QA</w:t>
            </w:r>
          </w:p>
        </w:tc>
        <w:tc>
          <w:tcPr>
            <w:tcW w:type="dxa" w:w="2023"/>
            <w:tcMar>
              <w:top w:type="dxa" w:w="60"/>
              <w:left w:type="dxa" w:w="100"/>
              <w:bottom w:type="dxa" w:w="60"/>
              <w:right w:type="dxa" w:w="100"/>
            </w:tcMar>
          </w:tcPr>
          <w:p>
            <w:pPr>
              <w:spacing w:after="20" w:before="20"/>
            </w:pPr>
            <w:r>
              <w:rPr>
                <w:sz w:val="19"/>
                <w:szCs w:val="19"/>
              </w:rPr>
              <w:t xml:space="preserve">Merge to main + nightly</w:t>
            </w:r>
          </w:p>
        </w:tc>
        <w:tc>
          <w:tcPr>
            <w:tcW w:type="dxa" w:w="1803"/>
            <w:tcMar>
              <w:top w:type="dxa" w:w="60"/>
              <w:left w:type="dxa" w:w="100"/>
              <w:bottom w:type="dxa" w:w="60"/>
              <w:right w:type="dxa" w:w="100"/>
            </w:tcMar>
          </w:tcPr>
          <w:p>
            <w:pPr>
              <w:spacing w:after="20" w:before="20"/>
            </w:pPr>
            <w:r>
              <w:rPr>
                <w:sz w:val="19"/>
                <w:szCs w:val="19"/>
              </w:rPr>
              <w:t xml:space="preserve">Detox, Appium</w:t>
            </w:r>
          </w:p>
        </w:tc>
      </w:tr>
      <w:tr>
        <w:tc>
          <w:tcPr>
            <w:tcW w:type="dxa" w:w="1468"/>
            <w:shd w:fill="F7F8FA" w:color="auto" w:val="clear"/>
            <w:tcMar>
              <w:top w:type="dxa" w:w="60"/>
              <w:left w:type="dxa" w:w="100"/>
              <w:bottom w:type="dxa" w:w="60"/>
              <w:right w:type="dxa" w:w="100"/>
            </w:tcMar>
          </w:tcPr>
          <w:p>
            <w:pPr>
              <w:spacing w:after="20" w:before="20"/>
            </w:pPr>
            <w:r>
              <w:rPr>
                <w:sz w:val="19"/>
                <w:szCs w:val="19"/>
              </w:rPr>
              <w:t xml:space="preserve">Exploratory</w:t>
            </w:r>
          </w:p>
        </w:tc>
        <w:tc>
          <w:tcPr>
            <w:tcW w:type="dxa" w:w="2816"/>
            <w:shd w:fill="F7F8FA" w:color="auto" w:val="clear"/>
            <w:tcMar>
              <w:top w:type="dxa" w:w="60"/>
              <w:left w:type="dxa" w:w="100"/>
              <w:bottom w:type="dxa" w:w="60"/>
              <w:right w:type="dxa" w:w="100"/>
            </w:tcMar>
          </w:tcPr>
          <w:p>
            <w:pPr>
              <w:spacing w:after="20" w:before="20"/>
            </w:pPr>
            <w:r>
              <w:rPr>
                <w:sz w:val="19"/>
                <w:szCs w:val="19"/>
              </w:rPr>
              <w:t xml:space="preserve">Discover what scripted tests cannot</w:t>
            </w:r>
          </w:p>
        </w:tc>
        <w:tc>
          <w:tcPr>
            <w:tcW w:type="dxa" w:w="1636"/>
            <w:shd w:fill="F7F8FA" w:color="auto" w:val="clear"/>
            <w:tcMar>
              <w:top w:type="dxa" w:w="60"/>
              <w:left w:type="dxa" w:w="100"/>
              <w:bottom w:type="dxa" w:w="60"/>
              <w:right w:type="dxa" w:w="100"/>
            </w:tcMar>
          </w:tcPr>
          <w:p>
            <w:pPr>
              <w:spacing w:after="20" w:before="20"/>
            </w:pPr>
            <w:r>
              <w:rPr>
                <w:sz w:val="19"/>
                <w:szCs w:val="19"/>
              </w:rPr>
              <w:t xml:space="preserve">Whole squad</w:t>
            </w:r>
          </w:p>
        </w:tc>
        <w:tc>
          <w:tcPr>
            <w:tcW w:type="dxa" w:w="2023"/>
            <w:shd w:fill="F7F8FA" w:color="auto" w:val="clear"/>
            <w:tcMar>
              <w:top w:type="dxa" w:w="60"/>
              <w:left w:type="dxa" w:w="100"/>
              <w:bottom w:type="dxa" w:w="60"/>
              <w:right w:type="dxa" w:w="100"/>
            </w:tcMar>
          </w:tcPr>
          <w:p>
            <w:pPr>
              <w:spacing w:after="20" w:before="20"/>
            </w:pPr>
            <w:r>
              <w:rPr>
                <w:sz w:val="19"/>
                <w:szCs w:val="19"/>
              </w:rPr>
              <w:t xml:space="preserve">Per story; bug hunt per release</w:t>
            </w:r>
          </w:p>
        </w:tc>
        <w:tc>
          <w:tcPr>
            <w:tcW w:type="dxa" w:w="1803"/>
            <w:shd w:fill="F7F8FA" w:color="auto" w:val="clear"/>
            <w:tcMar>
              <w:top w:type="dxa" w:w="60"/>
              <w:left w:type="dxa" w:w="100"/>
              <w:bottom w:type="dxa" w:w="60"/>
              <w:right w:type="dxa" w:w="100"/>
            </w:tcMar>
          </w:tcPr>
          <w:p>
            <w:pPr>
              <w:spacing w:after="20" w:before="20"/>
            </w:pPr>
            <w:r>
              <w:rPr>
                <w:sz w:val="19"/>
                <w:szCs w:val="19"/>
              </w:rPr>
              <w:t xml:space="preserve">Session charters</w:t>
            </w:r>
          </w:p>
        </w:tc>
      </w:tr>
      <w:tr>
        <w:tc>
          <w:tcPr>
            <w:tcW w:type="dxa" w:w="1468"/>
            <w:tcMar>
              <w:top w:type="dxa" w:w="60"/>
              <w:left w:type="dxa" w:w="100"/>
              <w:bottom w:type="dxa" w:w="60"/>
              <w:right w:type="dxa" w:w="100"/>
            </w:tcMar>
          </w:tcPr>
          <w:p>
            <w:pPr>
              <w:spacing w:after="20" w:before="20"/>
            </w:pPr>
            <w:r>
              <w:rPr>
                <w:sz w:val="19"/>
                <w:szCs w:val="19"/>
              </w:rPr>
              <w:t xml:space="preserve">UAT</w:t>
            </w:r>
          </w:p>
        </w:tc>
        <w:tc>
          <w:tcPr>
            <w:tcW w:type="dxa" w:w="2816"/>
            <w:tcMar>
              <w:top w:type="dxa" w:w="60"/>
              <w:left w:type="dxa" w:w="100"/>
              <w:bottom w:type="dxa" w:w="60"/>
              <w:right w:type="dxa" w:w="100"/>
            </w:tcMar>
          </w:tcPr>
          <w:p>
            <w:pPr>
              <w:spacing w:after="20" w:before="20"/>
            </w:pPr>
            <w:r>
              <w:rPr>
                <w:sz w:val="19"/>
                <w:szCs w:val="19"/>
              </w:rPr>
              <w:t xml:space="preserve">Business confirmation of intent</w:t>
            </w:r>
          </w:p>
        </w:tc>
        <w:tc>
          <w:tcPr>
            <w:tcW w:type="dxa" w:w="1636"/>
            <w:tcMar>
              <w:top w:type="dxa" w:w="60"/>
              <w:left w:type="dxa" w:w="100"/>
              <w:bottom w:type="dxa" w:w="60"/>
              <w:right w:type="dxa" w:w="100"/>
            </w:tcMar>
          </w:tcPr>
          <w:p>
            <w:pPr>
              <w:spacing w:after="20" w:before="20"/>
            </w:pPr>
            <w:r>
              <w:rPr>
                <w:sz w:val="19"/>
                <w:szCs w:val="19"/>
              </w:rPr>
              <w:t xml:space="preserve">Product Owner + ops reps</w:t>
            </w:r>
          </w:p>
        </w:tc>
        <w:tc>
          <w:tcPr>
            <w:tcW w:type="dxa" w:w="2023"/>
            <w:tcMar>
              <w:top w:type="dxa" w:w="60"/>
              <w:left w:type="dxa" w:w="100"/>
              <w:bottom w:type="dxa" w:w="60"/>
              <w:right w:type="dxa" w:w="100"/>
            </w:tcMar>
          </w:tcPr>
          <w:p>
            <w:pPr>
              <w:spacing w:after="20" w:before="20"/>
            </w:pPr>
            <w:r>
              <w:rPr>
                <w:sz w:val="19"/>
                <w:szCs w:val="19"/>
              </w:rPr>
              <w:t xml:space="preserve">Pre-release</w:t>
            </w:r>
          </w:p>
        </w:tc>
        <w:tc>
          <w:tcPr>
            <w:tcW w:type="dxa" w:w="1803"/>
            <w:tcMar>
              <w:top w:type="dxa" w:w="60"/>
              <w:left w:type="dxa" w:w="100"/>
              <w:bottom w:type="dxa" w:w="60"/>
              <w:right w:type="dxa" w:w="100"/>
            </w:tcMar>
          </w:tcPr>
          <w:p>
            <w:pPr>
              <w:spacing w:after="20" w:before="20"/>
            </w:pPr>
            <w:r>
              <w:rPr>
                <w:sz w:val="19"/>
                <w:szCs w:val="19"/>
              </w:rPr>
              <w:t xml:space="preserve">Staging + masked data</w:t>
            </w:r>
          </w:p>
        </w:tc>
      </w:tr>
    </w:tbl>
    <w:p>
      <w:pPr>
        <w:spacing w:after="200"/>
      </w:pPr>
    </w:p>
    <w:p>
      <w:pPr>
        <w:pStyle w:val="Heading3"/>
        <w:keepNext/>
        <w:spacing w:after="100" w:before="220"/>
      </w:pPr>
      <w:r>
        <w:rPr>
          <w:b/>
          <w:bCs/>
          <w:color w:val="2F5496"/>
          <w:sz w:val="22"/>
          <w:szCs w:val="22"/>
        </w:rPr>
        <w:t xml:space="preserve">4.3 In-sprint testing flow</w:t>
      </w:r>
    </w:p>
    <w:p>
      <w:pPr>
        <w:pStyle w:val="ListParagraph"/>
        <w:numPr>
          <w:ilvl w:val="0"/>
          <w:numId w:val="3"/>
        </w:numPr>
        <w:spacing w:after="40" w:before="40"/>
      </w:pPr>
      <w:r>
        <w:rPr>
          <w:b/>
          <w:bCs/>
          <w:sz w:val="21"/>
          <w:szCs w:val="21"/>
        </w:rPr>
        <w:t xml:space="preserve">Refinement.</w:t>
      </w:r>
      <w:r>
        <w:rPr>
          <w:sz w:val="21"/>
          <w:szCs w:val="21"/>
        </w:rPr>
        <w:t xml:space="preserve"> QA runs a 20-minute risk conversation per story: what could go wrong, what data is needed, what the acceptance criteria miss. Output is added to the story as test conditions.</w:t>
      </w:r>
    </w:p>
    <w:p>
      <w:pPr>
        <w:pStyle w:val="ListParagraph"/>
        <w:numPr>
          <w:ilvl w:val="0"/>
          <w:numId w:val="3"/>
        </w:numPr>
        <w:spacing w:after="40" w:before="40"/>
      </w:pPr>
      <w:r>
        <w:rPr>
          <w:b/>
          <w:bCs/>
          <w:sz w:val="21"/>
          <w:szCs w:val="21"/>
        </w:rPr>
        <w:t xml:space="preserve">Three amigos.</w:t>
      </w:r>
      <w:r>
        <w:rPr>
          <w:sz w:val="21"/>
          <w:szCs w:val="21"/>
        </w:rPr>
        <w:t xml:space="preserve"> PO, developer, and QA agree acceptance criteria in Given/When/Then before the story is pulled.</w:t>
      </w:r>
    </w:p>
    <w:p>
      <w:pPr>
        <w:pStyle w:val="ListParagraph"/>
        <w:numPr>
          <w:ilvl w:val="0"/>
          <w:numId w:val="3"/>
        </w:numPr>
        <w:spacing w:after="40" w:before="40"/>
      </w:pPr>
      <w:r>
        <w:rPr>
          <w:b/>
          <w:bCs/>
          <w:sz w:val="21"/>
          <w:szCs w:val="21"/>
        </w:rPr>
        <w:t xml:space="preserve">Development.</w:t>
      </w:r>
      <w:r>
        <w:rPr>
          <w:sz w:val="21"/>
          <w:szCs w:val="21"/>
        </w:rPr>
        <w:t xml:space="preserve"> Developer writes unit and component tests alongside the code. QA pairs on tricky test data or contract changes.</w:t>
      </w:r>
    </w:p>
    <w:p>
      <w:pPr>
        <w:pStyle w:val="ListParagraph"/>
        <w:numPr>
          <w:ilvl w:val="0"/>
          <w:numId w:val="3"/>
        </w:numPr>
        <w:spacing w:after="40" w:before="40"/>
      </w:pPr>
      <w:r>
        <w:rPr>
          <w:b/>
          <w:bCs/>
          <w:sz w:val="21"/>
          <w:szCs w:val="21"/>
        </w:rPr>
        <w:t xml:space="preserve">Story test.</w:t>
      </w:r>
      <w:r>
        <w:rPr>
          <w:sz w:val="21"/>
          <w:szCs w:val="21"/>
        </w:rPr>
        <w:t xml:space="preserve"> QA verifies acceptance criteria against the feature branch preview environment, runs a timeboxed exploratory session (45–90 minutes depending on risk), and adds or updates automation.</w:t>
      </w:r>
    </w:p>
    <w:p>
      <w:pPr>
        <w:pStyle w:val="ListParagraph"/>
        <w:numPr>
          <w:ilvl w:val="0"/>
          <w:numId w:val="3"/>
        </w:numPr>
        <w:spacing w:after="40" w:before="40"/>
      </w:pPr>
      <w:r>
        <w:rPr>
          <w:b/>
          <w:bCs/>
          <w:sz w:val="21"/>
          <w:szCs w:val="21"/>
        </w:rPr>
        <w:t xml:space="preserve">Merge.</w:t>
      </w:r>
      <w:r>
        <w:rPr>
          <w:sz w:val="21"/>
          <w:szCs w:val="21"/>
        </w:rPr>
        <w:t xml:space="preserve"> PR pipeline must be green; contract tests must pass on both sides.</w:t>
      </w:r>
    </w:p>
    <w:p>
      <w:pPr>
        <w:pStyle w:val="ListParagraph"/>
        <w:numPr>
          <w:ilvl w:val="0"/>
          <w:numId w:val="3"/>
        </w:numPr>
        <w:spacing w:after="40" w:before="40"/>
      </w:pPr>
      <w:r>
        <w:rPr>
          <w:b/>
          <w:bCs/>
          <w:sz w:val="21"/>
          <w:szCs w:val="21"/>
        </w:rPr>
        <w:t xml:space="preserve">Regression.</w:t>
      </w:r>
      <w:r>
        <w:rPr>
          <w:sz w:val="21"/>
          <w:szCs w:val="21"/>
        </w:rPr>
        <w:t xml:space="preserve"> The automated suite runs on main. Failures block the release train.</w:t>
      </w:r>
    </w:p>
    <w:p>
      <w:pPr>
        <w:pStyle w:val="ListParagraph"/>
        <w:numPr>
          <w:ilvl w:val="0"/>
          <w:numId w:val="3"/>
        </w:numPr>
        <w:spacing w:after="40" w:before="40"/>
      </w:pPr>
      <w:r>
        <w:rPr>
          <w:b/>
          <w:bCs/>
          <w:sz w:val="21"/>
          <w:szCs w:val="21"/>
        </w:rPr>
        <w:t xml:space="preserve">Release.</w:t>
      </w:r>
      <w:r>
        <w:rPr>
          <w:sz w:val="21"/>
          <w:szCs w:val="21"/>
        </w:rPr>
        <w:t xml:space="preserve"> Smoke test in production after deploy; the squad watches dashboards for 60 minutes.</w:t>
      </w:r>
    </w:p>
    <w:p>
      <w:pPr>
        <w:pStyle w:val="Heading3"/>
        <w:keepNext/>
        <w:spacing w:after="100" w:before="220"/>
      </w:pPr>
      <w:r>
        <w:rPr>
          <w:b/>
          <w:bCs/>
          <w:color w:val="2F5496"/>
          <w:sz w:val="22"/>
          <w:szCs w:val="22"/>
        </w:rPr>
        <w:t xml:space="preserve">4.4 Definition of Done (testing elements)</w:t>
      </w:r>
    </w:p>
    <w:p>
      <w:pPr>
        <w:spacing w:after="120" w:before="60" w:line="280"/>
      </w:pPr>
      <w:r>
        <w:rPr>
          <w:sz w:val="21"/>
          <w:szCs w:val="21"/>
        </w:rPr>
        <w:t xml:space="preserve">A story is done when: acceptance criteria are demonstrably met; unit and component tests are written and passing; contract tests updated where the interface changed; any new critical-path behaviour is covered by automation; an exploratory session has been run and notes attached; accessibility checks pass for new UI; no open S1/S2 defects against the story; and observability (logs, metrics, alerts) is in place for new behaviour.</w:t>
      </w:r>
    </w:p>
    <w:p>
      <w:pPr>
        <w:pStyle w:val="Heading3"/>
        <w:keepNext/>
        <w:spacing w:after="100" w:before="220"/>
      </w:pPr>
      <w:r>
        <w:rPr>
          <w:b/>
          <w:bCs/>
          <w:color w:val="2F5496"/>
          <w:sz w:val="22"/>
          <w:szCs w:val="22"/>
        </w:rPr>
        <w:t xml:space="preserve">4.5 Deliberately excluded</w:t>
      </w:r>
    </w:p>
    <w:p>
      <w:pPr>
        <w:spacing w:after="120" w:before="60" w:line="280"/>
      </w:pPr>
      <w:r>
        <w:rPr>
          <w:sz w:val="21"/>
          <w:szCs w:val="21"/>
        </w:rPr>
        <w:t xml:space="preserve">We do not run a separate manual regression cycle, maintain a scripted manual test case repository, or produce per-sprint test plan documents. Regression is automated; scripted manual cases were retired in Q1 2026 because maintenance cost exceeded their defect yield. Exploratory charters replaced them.</w:t>
      </w:r>
    </w:p>
    <w:p>
      <w:pPr>
        <w:pStyle w:val="Heading2"/>
        <w:keepNext/>
        <w:spacing w:after="140" w:before="320"/>
      </w:pPr>
      <w:r>
        <w:rPr>
          <w:b/>
          <w:bCs/>
          <w:color w:val="1F3864"/>
          <w:sz w:val="25"/>
          <w:szCs w:val="25"/>
        </w:rPr>
        <w:t xml:space="preserve">5. Risk-Based Prioritisation</w:t>
      </w:r>
    </w:p>
    <w:p>
      <w:pPr>
        <w:spacing w:after="120" w:before="60" w:line="280"/>
      </w:pPr>
      <w:r>
        <w:rPr>
          <w:sz w:val="21"/>
          <w:szCs w:val="21"/>
        </w:rPr>
        <w:t xml:space="preserve">Risk score = Likelihood (1–5) × Impact (1–5). Scores of 15+ require automated coverage at two levels plus an exploratory charter each release.</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742"/>
        <w:gridCol w:w="2726"/>
        <w:gridCol w:w="742"/>
        <w:gridCol w:w="742"/>
        <w:gridCol w:w="771"/>
        <w:gridCol w:w="4023"/>
      </w:tblGrid>
      <w:tr>
        <w:trPr>
          <w:tblHeader/>
        </w:trPr>
        <w:tc>
          <w:tcPr>
            <w:tcW w:type="dxa" w:w="742"/>
            <w:shd w:fill="E7EBF3" w:color="auto" w:val="clear"/>
            <w:tcMar>
              <w:top w:type="dxa" w:w="60"/>
              <w:left w:type="dxa" w:w="100"/>
              <w:bottom w:type="dxa" w:w="60"/>
              <w:right w:type="dxa" w:w="100"/>
            </w:tcMar>
          </w:tcPr>
          <w:p>
            <w:pPr>
              <w:spacing w:after="20" w:before="20"/>
            </w:pPr>
            <w:r>
              <w:rPr>
                <w:b/>
                <w:bCs/>
                <w:color w:val="1F3864"/>
                <w:sz w:val="19"/>
                <w:szCs w:val="19"/>
              </w:rPr>
              <w:t xml:space="preserve">ID</w:t>
            </w:r>
          </w:p>
        </w:tc>
        <w:tc>
          <w:tcPr>
            <w:tcW w:type="dxa" w:w="2726"/>
            <w:shd w:fill="E7EBF3" w:color="auto" w:val="clear"/>
            <w:tcMar>
              <w:top w:type="dxa" w:w="60"/>
              <w:left w:type="dxa" w:w="100"/>
              <w:bottom w:type="dxa" w:w="60"/>
              <w:right w:type="dxa" w:w="100"/>
            </w:tcMar>
          </w:tcPr>
          <w:p>
            <w:pPr>
              <w:spacing w:after="20" w:before="20"/>
            </w:pPr>
            <w:r>
              <w:rPr>
                <w:b/>
                <w:bCs/>
                <w:color w:val="1F3864"/>
                <w:sz w:val="19"/>
                <w:szCs w:val="19"/>
              </w:rPr>
              <w:t xml:space="preserve">Risk</w:t>
            </w:r>
          </w:p>
        </w:tc>
        <w:tc>
          <w:tcPr>
            <w:tcW w:type="dxa" w:w="742"/>
            <w:shd w:fill="E7EBF3" w:color="auto" w:val="clear"/>
            <w:tcMar>
              <w:top w:type="dxa" w:w="60"/>
              <w:left w:type="dxa" w:w="100"/>
              <w:bottom w:type="dxa" w:w="60"/>
              <w:right w:type="dxa" w:w="100"/>
            </w:tcMar>
          </w:tcPr>
          <w:p>
            <w:pPr>
              <w:spacing w:after="20" w:before="20"/>
            </w:pPr>
            <w:r>
              <w:rPr>
                <w:b/>
                <w:bCs/>
                <w:color w:val="1F3864"/>
                <w:sz w:val="19"/>
                <w:szCs w:val="19"/>
              </w:rPr>
              <w:t xml:space="preserve">L</w:t>
            </w:r>
          </w:p>
        </w:tc>
        <w:tc>
          <w:tcPr>
            <w:tcW w:type="dxa" w:w="742"/>
            <w:shd w:fill="E7EBF3" w:color="auto" w:val="clear"/>
            <w:tcMar>
              <w:top w:type="dxa" w:w="60"/>
              <w:left w:type="dxa" w:w="100"/>
              <w:bottom w:type="dxa" w:w="60"/>
              <w:right w:type="dxa" w:w="100"/>
            </w:tcMar>
          </w:tcPr>
          <w:p>
            <w:pPr>
              <w:spacing w:after="20" w:before="20"/>
            </w:pPr>
            <w:r>
              <w:rPr>
                <w:b/>
                <w:bCs/>
                <w:color w:val="1F3864"/>
                <w:sz w:val="19"/>
                <w:szCs w:val="19"/>
              </w:rPr>
              <w:t xml:space="preserve">I</w:t>
            </w:r>
          </w:p>
        </w:tc>
        <w:tc>
          <w:tcPr>
            <w:tcW w:type="dxa" w:w="771"/>
            <w:shd w:fill="E7EBF3" w:color="auto" w:val="clear"/>
            <w:tcMar>
              <w:top w:type="dxa" w:w="60"/>
              <w:left w:type="dxa" w:w="100"/>
              <w:bottom w:type="dxa" w:w="60"/>
              <w:right w:type="dxa" w:w="100"/>
            </w:tcMar>
          </w:tcPr>
          <w:p>
            <w:pPr>
              <w:spacing w:after="20" w:before="20"/>
            </w:pPr>
            <w:r>
              <w:rPr>
                <w:b/>
                <w:bCs/>
                <w:color w:val="1F3864"/>
                <w:sz w:val="19"/>
                <w:szCs w:val="19"/>
              </w:rPr>
              <w:t xml:space="preserve">Score</w:t>
            </w:r>
          </w:p>
        </w:tc>
        <w:tc>
          <w:tcPr>
            <w:tcW w:type="dxa" w:w="4023"/>
            <w:shd w:fill="E7EBF3" w:color="auto" w:val="clear"/>
            <w:tcMar>
              <w:top w:type="dxa" w:w="60"/>
              <w:left w:type="dxa" w:w="100"/>
              <w:bottom w:type="dxa" w:w="60"/>
              <w:right w:type="dxa" w:w="100"/>
            </w:tcMar>
          </w:tcPr>
          <w:p>
            <w:pPr>
              <w:spacing w:after="20" w:before="20"/>
            </w:pPr>
            <w:r>
              <w:rPr>
                <w:b/>
                <w:bCs/>
                <w:color w:val="1F3864"/>
                <w:sz w:val="19"/>
                <w:szCs w:val="19"/>
              </w:rPr>
              <w:t xml:space="preserve">Mitigation</w:t>
            </w:r>
          </w:p>
        </w:tc>
      </w:tr>
      <w:tr>
        <w:tc>
          <w:tcPr>
            <w:tcW w:type="dxa" w:w="742"/>
            <w:tcMar>
              <w:top w:type="dxa" w:w="60"/>
              <w:left w:type="dxa" w:w="100"/>
              <w:bottom w:type="dxa" w:w="60"/>
              <w:right w:type="dxa" w:w="100"/>
            </w:tcMar>
          </w:tcPr>
          <w:p>
            <w:pPr>
              <w:spacing w:after="20" w:before="20"/>
            </w:pPr>
            <w:r>
              <w:rPr>
                <w:sz w:val="19"/>
                <w:szCs w:val="19"/>
              </w:rPr>
              <w:t xml:space="preserve">R1</w:t>
            </w:r>
          </w:p>
        </w:tc>
        <w:tc>
          <w:tcPr>
            <w:tcW w:type="dxa" w:w="2726"/>
            <w:tcMar>
              <w:top w:type="dxa" w:w="60"/>
              <w:left w:type="dxa" w:w="100"/>
              <w:bottom w:type="dxa" w:w="60"/>
              <w:right w:type="dxa" w:w="100"/>
            </w:tcMar>
          </w:tcPr>
          <w:p>
            <w:pPr>
              <w:spacing w:after="20" w:before="20"/>
            </w:pPr>
            <w:r>
              <w:rPr>
                <w:sz w:val="19"/>
                <w:szCs w:val="19"/>
              </w:rPr>
              <w:t xml:space="preserve">Payment executed with wrong amount or beneficiary</w:t>
            </w:r>
          </w:p>
        </w:tc>
        <w:tc>
          <w:tcPr>
            <w:tcW w:type="dxa" w:w="742"/>
            <w:tcMar>
              <w:top w:type="dxa" w:w="60"/>
              <w:left w:type="dxa" w:w="100"/>
              <w:bottom w:type="dxa" w:w="60"/>
              <w:right w:type="dxa" w:w="100"/>
            </w:tcMar>
          </w:tcPr>
          <w:p>
            <w:pPr>
              <w:spacing w:after="20" w:before="20"/>
            </w:pPr>
            <w:r>
              <w:rPr>
                <w:sz w:val="19"/>
                <w:szCs w:val="19"/>
              </w:rPr>
              <w:t xml:space="preserve">2</w:t>
            </w:r>
          </w:p>
        </w:tc>
        <w:tc>
          <w:tcPr>
            <w:tcW w:type="dxa" w:w="742"/>
            <w:tcMar>
              <w:top w:type="dxa" w:w="60"/>
              <w:left w:type="dxa" w:w="100"/>
              <w:bottom w:type="dxa" w:w="60"/>
              <w:right w:type="dxa" w:w="100"/>
            </w:tcMar>
          </w:tcPr>
          <w:p>
            <w:pPr>
              <w:spacing w:after="20" w:before="20"/>
            </w:pPr>
            <w:r>
              <w:rPr>
                <w:sz w:val="19"/>
                <w:szCs w:val="19"/>
              </w:rPr>
              <w:t xml:space="preserve">5</w:t>
            </w:r>
          </w:p>
        </w:tc>
        <w:tc>
          <w:tcPr>
            <w:tcW w:type="dxa" w:w="771"/>
            <w:tcMar>
              <w:top w:type="dxa" w:w="60"/>
              <w:left w:type="dxa" w:w="100"/>
              <w:bottom w:type="dxa" w:w="60"/>
              <w:right w:type="dxa" w:w="100"/>
            </w:tcMar>
          </w:tcPr>
          <w:p>
            <w:pPr>
              <w:spacing w:after="20" w:before="20"/>
            </w:pPr>
            <w:r>
              <w:rPr>
                <w:sz w:val="19"/>
                <w:szCs w:val="19"/>
              </w:rPr>
              <w:t xml:space="preserve">10</w:t>
            </w:r>
          </w:p>
        </w:tc>
        <w:tc>
          <w:tcPr>
            <w:tcW w:type="dxa" w:w="4023"/>
            <w:tcMar>
              <w:top w:type="dxa" w:w="60"/>
              <w:left w:type="dxa" w:w="100"/>
              <w:bottom w:type="dxa" w:w="60"/>
              <w:right w:type="dxa" w:w="100"/>
            </w:tcMar>
          </w:tcPr>
          <w:p>
            <w:pPr>
              <w:spacing w:after="20" w:before="20"/>
            </w:pPr>
            <w:r>
              <w:rPr>
                <w:sz w:val="19"/>
                <w:szCs w:val="19"/>
              </w:rPr>
              <w:t xml:space="preserve">Unit tests on amount handling; contract tests with the processor sandbox; E2E on the three payment journeys; four-eyes review on payment code</w:t>
            </w:r>
          </w:p>
        </w:tc>
      </w:tr>
      <w:tr>
        <w:tc>
          <w:tcPr>
            <w:tcW w:type="dxa" w:w="742"/>
            <w:shd w:fill="F7F8FA" w:color="auto" w:val="clear"/>
            <w:tcMar>
              <w:top w:type="dxa" w:w="60"/>
              <w:left w:type="dxa" w:w="100"/>
              <w:bottom w:type="dxa" w:w="60"/>
              <w:right w:type="dxa" w:w="100"/>
            </w:tcMar>
          </w:tcPr>
          <w:p>
            <w:pPr>
              <w:spacing w:after="20" w:before="20"/>
            </w:pPr>
            <w:r>
              <w:rPr>
                <w:sz w:val="19"/>
                <w:szCs w:val="19"/>
              </w:rPr>
              <w:t xml:space="preserve">R2</w:t>
            </w:r>
          </w:p>
        </w:tc>
        <w:tc>
          <w:tcPr>
            <w:tcW w:type="dxa" w:w="2726"/>
            <w:shd w:fill="F7F8FA" w:color="auto" w:val="clear"/>
            <w:tcMar>
              <w:top w:type="dxa" w:w="60"/>
              <w:left w:type="dxa" w:w="100"/>
              <w:bottom w:type="dxa" w:w="60"/>
              <w:right w:type="dxa" w:w="100"/>
            </w:tcMar>
          </w:tcPr>
          <w:p>
            <w:pPr>
              <w:spacing w:after="20" w:before="20"/>
            </w:pPr>
            <w:r>
              <w:rPr>
                <w:sz w:val="19"/>
                <w:szCs w:val="19"/>
              </w:rPr>
              <w:t xml:space="preserve">Strong customer authentication bypassed</w:t>
            </w:r>
          </w:p>
        </w:tc>
        <w:tc>
          <w:tcPr>
            <w:tcW w:type="dxa" w:w="742"/>
            <w:shd w:fill="F7F8FA" w:color="auto" w:val="clear"/>
            <w:tcMar>
              <w:top w:type="dxa" w:w="60"/>
              <w:left w:type="dxa" w:w="100"/>
              <w:bottom w:type="dxa" w:w="60"/>
              <w:right w:type="dxa" w:w="100"/>
            </w:tcMar>
          </w:tcPr>
          <w:p>
            <w:pPr>
              <w:spacing w:after="20" w:before="20"/>
            </w:pPr>
            <w:r>
              <w:rPr>
                <w:sz w:val="19"/>
                <w:szCs w:val="19"/>
              </w:rPr>
              <w:t xml:space="preserve">3</w:t>
            </w:r>
          </w:p>
        </w:tc>
        <w:tc>
          <w:tcPr>
            <w:tcW w:type="dxa" w:w="742"/>
            <w:shd w:fill="F7F8FA" w:color="auto" w:val="clear"/>
            <w:tcMar>
              <w:top w:type="dxa" w:w="60"/>
              <w:left w:type="dxa" w:w="100"/>
              <w:bottom w:type="dxa" w:w="60"/>
              <w:right w:type="dxa" w:w="100"/>
            </w:tcMar>
          </w:tcPr>
          <w:p>
            <w:pPr>
              <w:spacing w:after="20" w:before="20"/>
            </w:pPr>
            <w:r>
              <w:rPr>
                <w:sz w:val="19"/>
                <w:szCs w:val="19"/>
              </w:rPr>
              <w:t xml:space="preserve">5</w:t>
            </w:r>
          </w:p>
        </w:tc>
        <w:tc>
          <w:tcPr>
            <w:tcW w:type="dxa" w:w="771"/>
            <w:shd w:fill="F7F8FA" w:color="auto" w:val="clear"/>
            <w:tcMar>
              <w:top w:type="dxa" w:w="60"/>
              <w:left w:type="dxa" w:w="100"/>
              <w:bottom w:type="dxa" w:w="60"/>
              <w:right w:type="dxa" w:w="100"/>
            </w:tcMar>
          </w:tcPr>
          <w:p>
            <w:pPr>
              <w:spacing w:after="20" w:before="20"/>
            </w:pPr>
            <w:r>
              <w:rPr>
                <w:sz w:val="19"/>
                <w:szCs w:val="19"/>
              </w:rPr>
              <w:t xml:space="preserve">15</w:t>
            </w:r>
          </w:p>
        </w:tc>
        <w:tc>
          <w:tcPr>
            <w:tcW w:type="dxa" w:w="4023"/>
            <w:shd w:fill="F7F8FA" w:color="auto" w:val="clear"/>
            <w:tcMar>
              <w:top w:type="dxa" w:w="60"/>
              <w:left w:type="dxa" w:w="100"/>
              <w:bottom w:type="dxa" w:w="60"/>
              <w:right w:type="dxa" w:w="100"/>
            </w:tcMar>
          </w:tcPr>
          <w:p>
            <w:pPr>
              <w:spacing w:after="20" w:before="20"/>
            </w:pPr>
            <w:r>
              <w:rPr>
                <w:sz w:val="19"/>
                <w:szCs w:val="19"/>
              </w:rPr>
              <w:t xml:space="preserve">Negative-path automation; quarterly penetration test; SAST/DAST in pipeline; security review of every auth change</w:t>
            </w:r>
          </w:p>
        </w:tc>
      </w:tr>
      <w:tr>
        <w:tc>
          <w:tcPr>
            <w:tcW w:type="dxa" w:w="742"/>
            <w:tcMar>
              <w:top w:type="dxa" w:w="60"/>
              <w:left w:type="dxa" w:w="100"/>
              <w:bottom w:type="dxa" w:w="60"/>
              <w:right w:type="dxa" w:w="100"/>
            </w:tcMar>
          </w:tcPr>
          <w:p>
            <w:pPr>
              <w:spacing w:after="20" w:before="20"/>
            </w:pPr>
            <w:r>
              <w:rPr>
                <w:sz w:val="19"/>
                <w:szCs w:val="19"/>
              </w:rPr>
              <w:t xml:space="preserve">R3</w:t>
            </w:r>
          </w:p>
        </w:tc>
        <w:tc>
          <w:tcPr>
            <w:tcW w:type="dxa" w:w="2726"/>
            <w:tcMar>
              <w:top w:type="dxa" w:w="60"/>
              <w:left w:type="dxa" w:w="100"/>
              <w:bottom w:type="dxa" w:w="60"/>
              <w:right w:type="dxa" w:w="100"/>
            </w:tcMar>
          </w:tcPr>
          <w:p>
            <w:pPr>
              <w:spacing w:after="20" w:before="20"/>
            </w:pPr>
            <w:r>
              <w:rPr>
                <w:sz w:val="19"/>
                <w:szCs w:val="19"/>
              </w:rPr>
              <w:t xml:space="preserve">Core banking sandbox unavailable, blocking verification</w:t>
            </w:r>
          </w:p>
        </w:tc>
        <w:tc>
          <w:tcPr>
            <w:tcW w:type="dxa" w:w="742"/>
            <w:tcMar>
              <w:top w:type="dxa" w:w="60"/>
              <w:left w:type="dxa" w:w="100"/>
              <w:bottom w:type="dxa" w:w="60"/>
              <w:right w:type="dxa" w:w="100"/>
            </w:tcMar>
          </w:tcPr>
          <w:p>
            <w:pPr>
              <w:spacing w:after="20" w:before="20"/>
            </w:pPr>
            <w:r>
              <w:rPr>
                <w:sz w:val="19"/>
                <w:szCs w:val="19"/>
              </w:rPr>
              <w:t xml:space="preserve">4</w:t>
            </w:r>
          </w:p>
        </w:tc>
        <w:tc>
          <w:tcPr>
            <w:tcW w:type="dxa" w:w="742"/>
            <w:tcMar>
              <w:top w:type="dxa" w:w="60"/>
              <w:left w:type="dxa" w:w="100"/>
              <w:bottom w:type="dxa" w:w="60"/>
              <w:right w:type="dxa" w:w="100"/>
            </w:tcMar>
          </w:tcPr>
          <w:p>
            <w:pPr>
              <w:spacing w:after="20" w:before="20"/>
            </w:pPr>
            <w:r>
              <w:rPr>
                <w:sz w:val="19"/>
                <w:szCs w:val="19"/>
              </w:rPr>
              <w:t xml:space="preserve">3</w:t>
            </w:r>
          </w:p>
        </w:tc>
        <w:tc>
          <w:tcPr>
            <w:tcW w:type="dxa" w:w="771"/>
            <w:tcMar>
              <w:top w:type="dxa" w:w="60"/>
              <w:left w:type="dxa" w:w="100"/>
              <w:bottom w:type="dxa" w:w="60"/>
              <w:right w:type="dxa" w:w="100"/>
            </w:tcMar>
          </w:tcPr>
          <w:p>
            <w:pPr>
              <w:spacing w:after="20" w:before="20"/>
            </w:pPr>
            <w:r>
              <w:rPr>
                <w:sz w:val="19"/>
                <w:szCs w:val="19"/>
              </w:rPr>
              <w:t xml:space="preserve">12</w:t>
            </w:r>
          </w:p>
        </w:tc>
        <w:tc>
          <w:tcPr>
            <w:tcW w:type="dxa" w:w="4023"/>
            <w:tcMar>
              <w:top w:type="dxa" w:w="60"/>
              <w:left w:type="dxa" w:w="100"/>
              <w:bottom w:type="dxa" w:w="60"/>
              <w:right w:type="dxa" w:w="100"/>
            </w:tcMar>
          </w:tcPr>
          <w:p>
            <w:pPr>
              <w:spacing w:after="20" w:before="20"/>
            </w:pPr>
            <w:r>
              <w:rPr>
                <w:sz w:val="19"/>
                <w:szCs w:val="19"/>
              </w:rPr>
              <w:t xml:space="preserve">Service virtualisation with WireMock; nightly contract verification against the real sandbox</w:t>
            </w:r>
          </w:p>
        </w:tc>
      </w:tr>
      <w:tr>
        <w:tc>
          <w:tcPr>
            <w:tcW w:type="dxa" w:w="742"/>
            <w:shd w:fill="F7F8FA" w:color="auto" w:val="clear"/>
            <w:tcMar>
              <w:top w:type="dxa" w:w="60"/>
              <w:left w:type="dxa" w:w="100"/>
              <w:bottom w:type="dxa" w:w="60"/>
              <w:right w:type="dxa" w:w="100"/>
            </w:tcMar>
          </w:tcPr>
          <w:p>
            <w:pPr>
              <w:spacing w:after="20" w:before="20"/>
            </w:pPr>
            <w:r>
              <w:rPr>
                <w:sz w:val="19"/>
                <w:szCs w:val="19"/>
              </w:rPr>
              <w:t xml:space="preserve">R4</w:t>
            </w:r>
          </w:p>
        </w:tc>
        <w:tc>
          <w:tcPr>
            <w:tcW w:type="dxa" w:w="2726"/>
            <w:shd w:fill="F7F8FA" w:color="auto" w:val="clear"/>
            <w:tcMar>
              <w:top w:type="dxa" w:w="60"/>
              <w:left w:type="dxa" w:w="100"/>
              <w:bottom w:type="dxa" w:w="60"/>
              <w:right w:type="dxa" w:w="100"/>
            </w:tcMar>
          </w:tcPr>
          <w:p>
            <w:pPr>
              <w:spacing w:after="20" w:before="20"/>
            </w:pPr>
            <w:r>
              <w:rPr>
                <w:sz w:val="19"/>
                <w:szCs w:val="19"/>
              </w:rPr>
              <w:t xml:space="preserve">Balance shown stale after a transaction</w:t>
            </w:r>
          </w:p>
        </w:tc>
        <w:tc>
          <w:tcPr>
            <w:tcW w:type="dxa" w:w="742"/>
            <w:shd w:fill="F7F8FA" w:color="auto" w:val="clear"/>
            <w:tcMar>
              <w:top w:type="dxa" w:w="60"/>
              <w:left w:type="dxa" w:w="100"/>
              <w:bottom w:type="dxa" w:w="60"/>
              <w:right w:type="dxa" w:w="100"/>
            </w:tcMar>
          </w:tcPr>
          <w:p>
            <w:pPr>
              <w:spacing w:after="20" w:before="20"/>
            </w:pPr>
            <w:r>
              <w:rPr>
                <w:sz w:val="19"/>
                <w:szCs w:val="19"/>
              </w:rPr>
              <w:t xml:space="preserve">3</w:t>
            </w:r>
          </w:p>
        </w:tc>
        <w:tc>
          <w:tcPr>
            <w:tcW w:type="dxa" w:w="742"/>
            <w:shd w:fill="F7F8FA" w:color="auto" w:val="clear"/>
            <w:tcMar>
              <w:top w:type="dxa" w:w="60"/>
              <w:left w:type="dxa" w:w="100"/>
              <w:bottom w:type="dxa" w:w="60"/>
              <w:right w:type="dxa" w:w="100"/>
            </w:tcMar>
          </w:tcPr>
          <w:p>
            <w:pPr>
              <w:spacing w:after="20" w:before="20"/>
            </w:pPr>
            <w:r>
              <w:rPr>
                <w:sz w:val="19"/>
                <w:szCs w:val="19"/>
              </w:rPr>
              <w:t xml:space="preserve">4</w:t>
            </w:r>
          </w:p>
        </w:tc>
        <w:tc>
          <w:tcPr>
            <w:tcW w:type="dxa" w:w="771"/>
            <w:shd w:fill="F7F8FA" w:color="auto" w:val="clear"/>
            <w:tcMar>
              <w:top w:type="dxa" w:w="60"/>
              <w:left w:type="dxa" w:w="100"/>
              <w:bottom w:type="dxa" w:w="60"/>
              <w:right w:type="dxa" w:w="100"/>
            </w:tcMar>
          </w:tcPr>
          <w:p>
            <w:pPr>
              <w:spacing w:after="20" w:before="20"/>
            </w:pPr>
            <w:r>
              <w:rPr>
                <w:sz w:val="19"/>
                <w:szCs w:val="19"/>
              </w:rPr>
              <w:t xml:space="preserve">12</w:t>
            </w:r>
          </w:p>
        </w:tc>
        <w:tc>
          <w:tcPr>
            <w:tcW w:type="dxa" w:w="4023"/>
            <w:shd w:fill="F7F8FA" w:color="auto" w:val="clear"/>
            <w:tcMar>
              <w:top w:type="dxa" w:w="60"/>
              <w:left w:type="dxa" w:w="100"/>
              <w:bottom w:type="dxa" w:w="60"/>
              <w:right w:type="dxa" w:w="100"/>
            </w:tcMar>
          </w:tcPr>
          <w:p>
            <w:pPr>
              <w:spacing w:after="20" w:before="20"/>
            </w:pPr>
            <w:r>
              <w:rPr>
                <w:sz w:val="19"/>
                <w:szCs w:val="19"/>
              </w:rPr>
              <w:t xml:space="preserve">Event-ordering tests on Kafka consumers; E2E assertion on post-payment balance refresh</w:t>
            </w:r>
          </w:p>
        </w:tc>
      </w:tr>
      <w:tr>
        <w:tc>
          <w:tcPr>
            <w:tcW w:type="dxa" w:w="742"/>
            <w:tcMar>
              <w:top w:type="dxa" w:w="60"/>
              <w:left w:type="dxa" w:w="100"/>
              <w:bottom w:type="dxa" w:w="60"/>
              <w:right w:type="dxa" w:w="100"/>
            </w:tcMar>
          </w:tcPr>
          <w:p>
            <w:pPr>
              <w:spacing w:after="20" w:before="20"/>
            </w:pPr>
            <w:r>
              <w:rPr>
                <w:sz w:val="19"/>
                <w:szCs w:val="19"/>
              </w:rPr>
              <w:t xml:space="preserve">R5</w:t>
            </w:r>
          </w:p>
        </w:tc>
        <w:tc>
          <w:tcPr>
            <w:tcW w:type="dxa" w:w="2726"/>
            <w:tcMar>
              <w:top w:type="dxa" w:w="60"/>
              <w:left w:type="dxa" w:w="100"/>
              <w:bottom w:type="dxa" w:w="60"/>
              <w:right w:type="dxa" w:w="100"/>
            </w:tcMar>
          </w:tcPr>
          <w:p>
            <w:pPr>
              <w:spacing w:after="20" w:before="20"/>
            </w:pPr>
            <w:r>
              <w:rPr>
                <w:sz w:val="19"/>
                <w:szCs w:val="19"/>
              </w:rPr>
              <w:t xml:space="preserve">App crash on older Android devices</w:t>
            </w:r>
          </w:p>
        </w:tc>
        <w:tc>
          <w:tcPr>
            <w:tcW w:type="dxa" w:w="742"/>
            <w:tcMar>
              <w:top w:type="dxa" w:w="60"/>
              <w:left w:type="dxa" w:w="100"/>
              <w:bottom w:type="dxa" w:w="60"/>
              <w:right w:type="dxa" w:w="100"/>
            </w:tcMar>
          </w:tcPr>
          <w:p>
            <w:pPr>
              <w:spacing w:after="20" w:before="20"/>
            </w:pPr>
            <w:r>
              <w:rPr>
                <w:sz w:val="19"/>
                <w:szCs w:val="19"/>
              </w:rPr>
              <w:t xml:space="preserve">3</w:t>
            </w:r>
          </w:p>
        </w:tc>
        <w:tc>
          <w:tcPr>
            <w:tcW w:type="dxa" w:w="742"/>
            <w:tcMar>
              <w:top w:type="dxa" w:w="60"/>
              <w:left w:type="dxa" w:w="100"/>
              <w:bottom w:type="dxa" w:w="60"/>
              <w:right w:type="dxa" w:w="100"/>
            </w:tcMar>
          </w:tcPr>
          <w:p>
            <w:pPr>
              <w:spacing w:after="20" w:before="20"/>
            </w:pPr>
            <w:r>
              <w:rPr>
                <w:sz w:val="19"/>
                <w:szCs w:val="19"/>
              </w:rPr>
              <w:t xml:space="preserve">4</w:t>
            </w:r>
          </w:p>
        </w:tc>
        <w:tc>
          <w:tcPr>
            <w:tcW w:type="dxa" w:w="771"/>
            <w:tcMar>
              <w:top w:type="dxa" w:w="60"/>
              <w:left w:type="dxa" w:w="100"/>
              <w:bottom w:type="dxa" w:w="60"/>
              <w:right w:type="dxa" w:w="100"/>
            </w:tcMar>
          </w:tcPr>
          <w:p>
            <w:pPr>
              <w:spacing w:after="20" w:before="20"/>
            </w:pPr>
            <w:r>
              <w:rPr>
                <w:sz w:val="19"/>
                <w:szCs w:val="19"/>
              </w:rPr>
              <w:t xml:space="preserve">12</w:t>
            </w:r>
          </w:p>
        </w:tc>
        <w:tc>
          <w:tcPr>
            <w:tcW w:type="dxa" w:w="4023"/>
            <w:tcMar>
              <w:top w:type="dxa" w:w="60"/>
              <w:left w:type="dxa" w:w="100"/>
              <w:bottom w:type="dxa" w:w="60"/>
              <w:right w:type="dxa" w:w="100"/>
            </w:tcMar>
          </w:tcPr>
          <w:p>
            <w:pPr>
              <w:spacing w:after="20" w:before="20"/>
            </w:pPr>
            <w:r>
              <w:rPr>
                <w:sz w:val="19"/>
                <w:szCs w:val="19"/>
              </w:rPr>
              <w:t xml:space="preserve">Device-cloud matrix covering the top 12 device/OS combinations by user share</w:t>
            </w:r>
          </w:p>
        </w:tc>
      </w:tr>
      <w:tr>
        <w:tc>
          <w:tcPr>
            <w:tcW w:type="dxa" w:w="742"/>
            <w:shd w:fill="F7F8FA" w:color="auto" w:val="clear"/>
            <w:tcMar>
              <w:top w:type="dxa" w:w="60"/>
              <w:left w:type="dxa" w:w="100"/>
              <w:bottom w:type="dxa" w:w="60"/>
              <w:right w:type="dxa" w:w="100"/>
            </w:tcMar>
          </w:tcPr>
          <w:p>
            <w:pPr>
              <w:spacing w:after="20" w:before="20"/>
            </w:pPr>
            <w:r>
              <w:rPr>
                <w:sz w:val="19"/>
                <w:szCs w:val="19"/>
              </w:rPr>
              <w:t xml:space="preserve">R6</w:t>
            </w:r>
          </w:p>
        </w:tc>
        <w:tc>
          <w:tcPr>
            <w:tcW w:type="dxa" w:w="2726"/>
            <w:shd w:fill="F7F8FA" w:color="auto" w:val="clear"/>
            <w:tcMar>
              <w:top w:type="dxa" w:w="60"/>
              <w:left w:type="dxa" w:w="100"/>
              <w:bottom w:type="dxa" w:w="60"/>
              <w:right w:type="dxa" w:w="100"/>
            </w:tcMar>
          </w:tcPr>
          <w:p>
            <w:pPr>
              <w:spacing w:after="20" w:before="20"/>
            </w:pPr>
            <w:r>
              <w:rPr>
                <w:sz w:val="19"/>
                <w:szCs w:val="19"/>
              </w:rPr>
              <w:t xml:space="preserve">Accessibility regression locks out screen-reader users</w:t>
            </w:r>
          </w:p>
        </w:tc>
        <w:tc>
          <w:tcPr>
            <w:tcW w:type="dxa" w:w="742"/>
            <w:shd w:fill="F7F8FA" w:color="auto" w:val="clear"/>
            <w:tcMar>
              <w:top w:type="dxa" w:w="60"/>
              <w:left w:type="dxa" w:w="100"/>
              <w:bottom w:type="dxa" w:w="60"/>
              <w:right w:type="dxa" w:w="100"/>
            </w:tcMar>
          </w:tcPr>
          <w:p>
            <w:pPr>
              <w:spacing w:after="20" w:before="20"/>
            </w:pPr>
            <w:r>
              <w:rPr>
                <w:sz w:val="19"/>
                <w:szCs w:val="19"/>
              </w:rPr>
              <w:t xml:space="preserve">3</w:t>
            </w:r>
          </w:p>
        </w:tc>
        <w:tc>
          <w:tcPr>
            <w:tcW w:type="dxa" w:w="742"/>
            <w:shd w:fill="F7F8FA" w:color="auto" w:val="clear"/>
            <w:tcMar>
              <w:top w:type="dxa" w:w="60"/>
              <w:left w:type="dxa" w:w="100"/>
              <w:bottom w:type="dxa" w:w="60"/>
              <w:right w:type="dxa" w:w="100"/>
            </w:tcMar>
          </w:tcPr>
          <w:p>
            <w:pPr>
              <w:spacing w:after="20" w:before="20"/>
            </w:pPr>
            <w:r>
              <w:rPr>
                <w:sz w:val="19"/>
                <w:szCs w:val="19"/>
              </w:rPr>
              <w:t xml:space="preserve">3</w:t>
            </w:r>
          </w:p>
        </w:tc>
        <w:tc>
          <w:tcPr>
            <w:tcW w:type="dxa" w:w="771"/>
            <w:shd w:fill="F7F8FA" w:color="auto" w:val="clear"/>
            <w:tcMar>
              <w:top w:type="dxa" w:w="60"/>
              <w:left w:type="dxa" w:w="100"/>
              <w:bottom w:type="dxa" w:w="60"/>
              <w:right w:type="dxa" w:w="100"/>
            </w:tcMar>
          </w:tcPr>
          <w:p>
            <w:pPr>
              <w:spacing w:after="20" w:before="20"/>
            </w:pPr>
            <w:r>
              <w:rPr>
                <w:sz w:val="19"/>
                <w:szCs w:val="19"/>
              </w:rPr>
              <w:t xml:space="preserve">9</w:t>
            </w:r>
          </w:p>
        </w:tc>
        <w:tc>
          <w:tcPr>
            <w:tcW w:type="dxa" w:w="4023"/>
            <w:shd w:fill="F7F8FA" w:color="auto" w:val="clear"/>
            <w:tcMar>
              <w:top w:type="dxa" w:w="60"/>
              <w:left w:type="dxa" w:w="100"/>
              <w:bottom w:type="dxa" w:w="60"/>
              <w:right w:type="dxa" w:w="100"/>
            </w:tcMar>
          </w:tcPr>
          <w:p>
            <w:pPr>
              <w:spacing w:after="20" w:before="20"/>
            </w:pPr>
            <w:r>
              <w:rPr>
                <w:sz w:val="19"/>
                <w:szCs w:val="19"/>
              </w:rPr>
              <w:t xml:space="preserve">axe scans in CI; VoiceOver/TalkBack walkthrough each release</w:t>
            </w:r>
          </w:p>
        </w:tc>
      </w:tr>
      <w:tr>
        <w:tc>
          <w:tcPr>
            <w:tcW w:type="dxa" w:w="742"/>
            <w:tcMar>
              <w:top w:type="dxa" w:w="60"/>
              <w:left w:type="dxa" w:w="100"/>
              <w:bottom w:type="dxa" w:w="60"/>
              <w:right w:type="dxa" w:w="100"/>
            </w:tcMar>
          </w:tcPr>
          <w:p>
            <w:pPr>
              <w:spacing w:after="20" w:before="20"/>
            </w:pPr>
            <w:r>
              <w:rPr>
                <w:sz w:val="19"/>
                <w:szCs w:val="19"/>
              </w:rPr>
              <w:t xml:space="preserve">R7</w:t>
            </w:r>
          </w:p>
        </w:tc>
        <w:tc>
          <w:tcPr>
            <w:tcW w:type="dxa" w:w="2726"/>
            <w:tcMar>
              <w:top w:type="dxa" w:w="60"/>
              <w:left w:type="dxa" w:w="100"/>
              <w:bottom w:type="dxa" w:w="60"/>
              <w:right w:type="dxa" w:w="100"/>
            </w:tcMar>
          </w:tcPr>
          <w:p>
            <w:pPr>
              <w:spacing w:after="20" w:before="20"/>
            </w:pPr>
            <w:r>
              <w:rPr>
                <w:sz w:val="19"/>
                <w:szCs w:val="19"/>
              </w:rPr>
              <w:t xml:space="preserve">Personal data leaked into logs or test fixtures</w:t>
            </w:r>
          </w:p>
        </w:tc>
        <w:tc>
          <w:tcPr>
            <w:tcW w:type="dxa" w:w="742"/>
            <w:tcMar>
              <w:top w:type="dxa" w:w="60"/>
              <w:left w:type="dxa" w:w="100"/>
              <w:bottom w:type="dxa" w:w="60"/>
              <w:right w:type="dxa" w:w="100"/>
            </w:tcMar>
          </w:tcPr>
          <w:p>
            <w:pPr>
              <w:spacing w:after="20" w:before="20"/>
            </w:pPr>
            <w:r>
              <w:rPr>
                <w:sz w:val="19"/>
                <w:szCs w:val="19"/>
              </w:rPr>
              <w:t xml:space="preserve">2</w:t>
            </w:r>
          </w:p>
        </w:tc>
        <w:tc>
          <w:tcPr>
            <w:tcW w:type="dxa" w:w="742"/>
            <w:tcMar>
              <w:top w:type="dxa" w:w="60"/>
              <w:left w:type="dxa" w:w="100"/>
              <w:bottom w:type="dxa" w:w="60"/>
              <w:right w:type="dxa" w:w="100"/>
            </w:tcMar>
          </w:tcPr>
          <w:p>
            <w:pPr>
              <w:spacing w:after="20" w:before="20"/>
            </w:pPr>
            <w:r>
              <w:rPr>
                <w:sz w:val="19"/>
                <w:szCs w:val="19"/>
              </w:rPr>
              <w:t xml:space="preserve">5</w:t>
            </w:r>
          </w:p>
        </w:tc>
        <w:tc>
          <w:tcPr>
            <w:tcW w:type="dxa" w:w="771"/>
            <w:tcMar>
              <w:top w:type="dxa" w:w="60"/>
              <w:left w:type="dxa" w:w="100"/>
              <w:bottom w:type="dxa" w:w="60"/>
              <w:right w:type="dxa" w:w="100"/>
            </w:tcMar>
          </w:tcPr>
          <w:p>
            <w:pPr>
              <w:spacing w:after="20" w:before="20"/>
            </w:pPr>
            <w:r>
              <w:rPr>
                <w:sz w:val="19"/>
                <w:szCs w:val="19"/>
              </w:rPr>
              <w:t xml:space="preserve">10</w:t>
            </w:r>
          </w:p>
        </w:tc>
        <w:tc>
          <w:tcPr>
            <w:tcW w:type="dxa" w:w="4023"/>
            <w:tcMar>
              <w:top w:type="dxa" w:w="60"/>
              <w:left w:type="dxa" w:w="100"/>
              <w:bottom w:type="dxa" w:w="60"/>
              <w:right w:type="dxa" w:w="100"/>
            </w:tcMar>
          </w:tcPr>
          <w:p>
            <w:pPr>
              <w:spacing w:after="20" w:before="20"/>
            </w:pPr>
            <w:r>
              <w:rPr>
                <w:sz w:val="19"/>
                <w:szCs w:val="19"/>
              </w:rPr>
              <w:t xml:space="preserve">Log-scanning rule in pipeline; synthetic-only test data policy</w:t>
            </w:r>
          </w:p>
        </w:tc>
      </w:tr>
    </w:tbl>
    <w:p>
      <w:pPr>
        <w:spacing w:after="200"/>
      </w:pPr>
    </w:p>
    <w:p>
      <w:pPr>
        <w:pStyle w:val="Heading2"/>
        <w:keepNext/>
        <w:spacing w:after="140" w:before="320"/>
      </w:pPr>
      <w:r>
        <w:rPr>
          <w:b/>
          <w:bCs/>
          <w:color w:val="1F3864"/>
          <w:sz w:val="25"/>
          <w:szCs w:val="25"/>
        </w:rPr>
        <w:t xml:space="preserve">6. Test Automation Strategy</w:t>
      </w:r>
    </w:p>
    <w:p>
      <w:pPr>
        <w:pStyle w:val="Heading3"/>
        <w:keepNext/>
        <w:spacing w:after="100" w:before="220"/>
      </w:pPr>
      <w:r>
        <w:rPr>
          <w:b/>
          <w:bCs/>
          <w:color w:val="2F5496"/>
          <w:sz w:val="22"/>
          <w:szCs w:val="22"/>
        </w:rPr>
        <w:t xml:space="preserve">6.1 Shape</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2062"/>
        <w:gridCol w:w="1564"/>
        <w:gridCol w:w="1921"/>
        <w:gridCol w:w="1619"/>
        <w:gridCol w:w="2580"/>
      </w:tblGrid>
      <w:tr>
        <w:trPr>
          <w:tblHeader/>
        </w:trPr>
        <w:tc>
          <w:tcPr>
            <w:tcW w:type="dxa" w:w="2062"/>
            <w:shd w:fill="E7EBF3" w:color="auto" w:val="clear"/>
            <w:tcMar>
              <w:top w:type="dxa" w:w="60"/>
              <w:left w:type="dxa" w:w="100"/>
              <w:bottom w:type="dxa" w:w="60"/>
              <w:right w:type="dxa" w:w="100"/>
            </w:tcMar>
          </w:tcPr>
          <w:p>
            <w:pPr>
              <w:spacing w:after="20" w:before="20"/>
            </w:pPr>
            <w:r>
              <w:rPr>
                <w:b/>
                <w:bCs/>
                <w:color w:val="1F3864"/>
                <w:sz w:val="19"/>
                <w:szCs w:val="19"/>
              </w:rPr>
              <w:t xml:space="preserve">Tier</w:t>
            </w:r>
          </w:p>
        </w:tc>
        <w:tc>
          <w:tcPr>
            <w:tcW w:type="dxa" w:w="1564"/>
            <w:shd w:fill="E7EBF3" w:color="auto" w:val="clear"/>
            <w:tcMar>
              <w:top w:type="dxa" w:w="60"/>
              <w:left w:type="dxa" w:w="100"/>
              <w:bottom w:type="dxa" w:w="60"/>
              <w:right w:type="dxa" w:w="100"/>
            </w:tcMar>
          </w:tcPr>
          <w:p>
            <w:pPr>
              <w:spacing w:after="20" w:before="20"/>
            </w:pPr>
            <w:r>
              <w:rPr>
                <w:b/>
                <w:bCs/>
                <w:color w:val="1F3864"/>
                <w:sz w:val="19"/>
                <w:szCs w:val="19"/>
              </w:rPr>
              <w:t xml:space="preserve">Target share</w:t>
            </w:r>
          </w:p>
        </w:tc>
        <w:tc>
          <w:tcPr>
            <w:tcW w:type="dxa" w:w="1921"/>
            <w:shd w:fill="E7EBF3" w:color="auto" w:val="clear"/>
            <w:tcMar>
              <w:top w:type="dxa" w:w="60"/>
              <w:left w:type="dxa" w:w="100"/>
              <w:bottom w:type="dxa" w:w="60"/>
              <w:right w:type="dxa" w:w="100"/>
            </w:tcMar>
          </w:tcPr>
          <w:p>
            <w:pPr>
              <w:spacing w:after="20" w:before="20"/>
            </w:pPr>
            <w:r>
              <w:rPr>
                <w:b/>
                <w:bCs/>
                <w:color w:val="1F3864"/>
                <w:sz w:val="19"/>
                <w:szCs w:val="19"/>
              </w:rPr>
              <w:t xml:space="preserve">Actual (Sep 2026)</w:t>
            </w:r>
          </w:p>
        </w:tc>
        <w:tc>
          <w:tcPr>
            <w:tcW w:type="dxa" w:w="1619"/>
            <w:shd w:fill="E7EBF3" w:color="auto" w:val="clear"/>
            <w:tcMar>
              <w:top w:type="dxa" w:w="60"/>
              <w:left w:type="dxa" w:w="100"/>
              <w:bottom w:type="dxa" w:w="60"/>
              <w:right w:type="dxa" w:w="100"/>
            </w:tcMar>
          </w:tcPr>
          <w:p>
            <w:pPr>
              <w:spacing w:after="20" w:before="20"/>
            </w:pPr>
            <w:r>
              <w:rPr>
                <w:b/>
                <w:bCs/>
                <w:color w:val="1F3864"/>
                <w:sz w:val="19"/>
                <w:szCs w:val="19"/>
              </w:rPr>
              <w:t xml:space="preserve">Max runtime</w:t>
            </w:r>
          </w:p>
        </w:tc>
        <w:tc>
          <w:tcPr>
            <w:tcW w:type="dxa" w:w="2580"/>
            <w:shd w:fill="E7EBF3" w:color="auto" w:val="clear"/>
            <w:tcMar>
              <w:top w:type="dxa" w:w="60"/>
              <w:left w:type="dxa" w:w="100"/>
              <w:bottom w:type="dxa" w:w="60"/>
              <w:right w:type="dxa" w:w="100"/>
            </w:tcMar>
          </w:tcPr>
          <w:p>
            <w:pPr>
              <w:spacing w:after="20" w:before="20"/>
            </w:pPr>
            <w:r>
              <w:rPr>
                <w:b/>
                <w:bCs/>
                <w:color w:val="1F3864"/>
                <w:sz w:val="19"/>
                <w:szCs w:val="19"/>
              </w:rPr>
              <w:t xml:space="preserve">Runs on</w:t>
            </w:r>
          </w:p>
        </w:tc>
      </w:tr>
      <w:tr>
        <w:tc>
          <w:tcPr>
            <w:tcW w:type="dxa" w:w="2062"/>
            <w:tcMar>
              <w:top w:type="dxa" w:w="60"/>
              <w:left w:type="dxa" w:w="100"/>
              <w:bottom w:type="dxa" w:w="60"/>
              <w:right w:type="dxa" w:w="100"/>
            </w:tcMar>
          </w:tcPr>
          <w:p>
            <w:pPr>
              <w:spacing w:after="20" w:before="20"/>
            </w:pPr>
            <w:r>
              <w:rPr>
                <w:sz w:val="19"/>
                <w:szCs w:val="19"/>
              </w:rPr>
              <w:t xml:space="preserve">Unit</w:t>
            </w:r>
          </w:p>
        </w:tc>
        <w:tc>
          <w:tcPr>
            <w:tcW w:type="dxa" w:w="1564"/>
            <w:tcMar>
              <w:top w:type="dxa" w:w="60"/>
              <w:left w:type="dxa" w:w="100"/>
              <w:bottom w:type="dxa" w:w="60"/>
              <w:right w:type="dxa" w:w="100"/>
            </w:tcMar>
          </w:tcPr>
          <w:p>
            <w:pPr>
              <w:spacing w:after="20" w:before="20"/>
            </w:pPr>
            <w:r>
              <w:rPr>
                <w:sz w:val="19"/>
                <w:szCs w:val="19"/>
              </w:rPr>
              <w:t xml:space="preserve">~70%</w:t>
            </w:r>
          </w:p>
        </w:tc>
        <w:tc>
          <w:tcPr>
            <w:tcW w:type="dxa" w:w="1921"/>
            <w:tcMar>
              <w:top w:type="dxa" w:w="60"/>
              <w:left w:type="dxa" w:w="100"/>
              <w:bottom w:type="dxa" w:w="60"/>
              <w:right w:type="dxa" w:w="100"/>
            </w:tcMar>
          </w:tcPr>
          <w:p>
            <w:pPr>
              <w:spacing w:after="20" w:before="20"/>
            </w:pPr>
            <w:r>
              <w:rPr>
                <w:sz w:val="19"/>
                <w:szCs w:val="19"/>
              </w:rPr>
              <w:t xml:space="preserve">72%</w:t>
            </w:r>
          </w:p>
        </w:tc>
        <w:tc>
          <w:tcPr>
            <w:tcW w:type="dxa" w:w="1619"/>
            <w:tcMar>
              <w:top w:type="dxa" w:w="60"/>
              <w:left w:type="dxa" w:w="100"/>
              <w:bottom w:type="dxa" w:w="60"/>
              <w:right w:type="dxa" w:w="100"/>
            </w:tcMar>
          </w:tcPr>
          <w:p>
            <w:pPr>
              <w:spacing w:after="20" w:before="20"/>
            </w:pPr>
            <w:r>
              <w:rPr>
                <w:sz w:val="19"/>
                <w:szCs w:val="19"/>
              </w:rPr>
              <w:t xml:space="preserve">4 min</w:t>
            </w:r>
          </w:p>
        </w:tc>
        <w:tc>
          <w:tcPr>
            <w:tcW w:type="dxa" w:w="2580"/>
            <w:tcMar>
              <w:top w:type="dxa" w:w="60"/>
              <w:left w:type="dxa" w:w="100"/>
              <w:bottom w:type="dxa" w:w="60"/>
              <w:right w:type="dxa" w:w="100"/>
            </w:tcMar>
          </w:tcPr>
          <w:p>
            <w:pPr>
              <w:spacing w:after="20" w:before="20"/>
            </w:pPr>
            <w:r>
              <w:rPr>
                <w:sz w:val="19"/>
                <w:szCs w:val="19"/>
              </w:rPr>
              <w:t xml:space="preserve">Every commit</w:t>
            </w:r>
          </w:p>
        </w:tc>
      </w:tr>
      <w:tr>
        <w:tc>
          <w:tcPr>
            <w:tcW w:type="dxa" w:w="2062"/>
            <w:shd w:fill="F7F8FA" w:color="auto" w:val="clear"/>
            <w:tcMar>
              <w:top w:type="dxa" w:w="60"/>
              <w:left w:type="dxa" w:w="100"/>
              <w:bottom w:type="dxa" w:w="60"/>
              <w:right w:type="dxa" w:w="100"/>
            </w:tcMar>
          </w:tcPr>
          <w:p>
            <w:pPr>
              <w:spacing w:after="20" w:before="20"/>
            </w:pPr>
            <w:r>
              <w:rPr>
                <w:sz w:val="19"/>
                <w:szCs w:val="19"/>
              </w:rPr>
              <w:t xml:space="preserve">Component + contract</w:t>
            </w:r>
          </w:p>
        </w:tc>
        <w:tc>
          <w:tcPr>
            <w:tcW w:type="dxa" w:w="1564"/>
            <w:shd w:fill="F7F8FA" w:color="auto" w:val="clear"/>
            <w:tcMar>
              <w:top w:type="dxa" w:w="60"/>
              <w:left w:type="dxa" w:w="100"/>
              <w:bottom w:type="dxa" w:w="60"/>
              <w:right w:type="dxa" w:w="100"/>
            </w:tcMar>
          </w:tcPr>
          <w:p>
            <w:pPr>
              <w:spacing w:after="20" w:before="20"/>
            </w:pPr>
            <w:r>
              <w:rPr>
                <w:sz w:val="19"/>
                <w:szCs w:val="19"/>
              </w:rPr>
              <w:t xml:space="preserve">~25%</w:t>
            </w:r>
          </w:p>
        </w:tc>
        <w:tc>
          <w:tcPr>
            <w:tcW w:type="dxa" w:w="1921"/>
            <w:shd w:fill="F7F8FA" w:color="auto" w:val="clear"/>
            <w:tcMar>
              <w:top w:type="dxa" w:w="60"/>
              <w:left w:type="dxa" w:w="100"/>
              <w:bottom w:type="dxa" w:w="60"/>
              <w:right w:type="dxa" w:w="100"/>
            </w:tcMar>
          </w:tcPr>
          <w:p>
            <w:pPr>
              <w:spacing w:after="20" w:before="20"/>
            </w:pPr>
            <w:r>
              <w:rPr>
                <w:sz w:val="19"/>
                <w:szCs w:val="19"/>
              </w:rPr>
              <w:t xml:space="preserve">23%</w:t>
            </w:r>
          </w:p>
        </w:tc>
        <w:tc>
          <w:tcPr>
            <w:tcW w:type="dxa" w:w="1619"/>
            <w:shd w:fill="F7F8FA" w:color="auto" w:val="clear"/>
            <w:tcMar>
              <w:top w:type="dxa" w:w="60"/>
              <w:left w:type="dxa" w:w="100"/>
              <w:bottom w:type="dxa" w:w="60"/>
              <w:right w:type="dxa" w:w="100"/>
            </w:tcMar>
          </w:tcPr>
          <w:p>
            <w:pPr>
              <w:spacing w:after="20" w:before="20"/>
            </w:pPr>
            <w:r>
              <w:rPr>
                <w:sz w:val="19"/>
                <w:szCs w:val="19"/>
              </w:rPr>
              <w:t xml:space="preserve">7 min</w:t>
            </w:r>
          </w:p>
        </w:tc>
        <w:tc>
          <w:tcPr>
            <w:tcW w:type="dxa" w:w="2580"/>
            <w:shd w:fill="F7F8FA" w:color="auto" w:val="clear"/>
            <w:tcMar>
              <w:top w:type="dxa" w:w="60"/>
              <w:left w:type="dxa" w:w="100"/>
              <w:bottom w:type="dxa" w:w="60"/>
              <w:right w:type="dxa" w:w="100"/>
            </w:tcMar>
          </w:tcPr>
          <w:p>
            <w:pPr>
              <w:spacing w:after="20" w:before="20"/>
            </w:pPr>
            <w:r>
              <w:rPr>
                <w:sz w:val="19"/>
                <w:szCs w:val="19"/>
              </w:rPr>
              <w:t xml:space="preserve">Every PR</w:t>
            </w:r>
          </w:p>
        </w:tc>
      </w:tr>
      <w:tr>
        <w:tc>
          <w:tcPr>
            <w:tcW w:type="dxa" w:w="2062"/>
            <w:tcMar>
              <w:top w:type="dxa" w:w="60"/>
              <w:left w:type="dxa" w:w="100"/>
              <w:bottom w:type="dxa" w:w="60"/>
              <w:right w:type="dxa" w:w="100"/>
            </w:tcMar>
          </w:tcPr>
          <w:p>
            <w:pPr>
              <w:spacing w:after="20" w:before="20"/>
            </w:pPr>
            <w:r>
              <w:rPr>
                <w:sz w:val="19"/>
                <w:szCs w:val="19"/>
              </w:rPr>
              <w:t xml:space="preserve">End-to-end UI</w:t>
            </w:r>
          </w:p>
        </w:tc>
        <w:tc>
          <w:tcPr>
            <w:tcW w:type="dxa" w:w="1564"/>
            <w:tcMar>
              <w:top w:type="dxa" w:w="60"/>
              <w:left w:type="dxa" w:w="100"/>
              <w:bottom w:type="dxa" w:w="60"/>
              <w:right w:type="dxa" w:w="100"/>
            </w:tcMar>
          </w:tcPr>
          <w:p>
            <w:pPr>
              <w:spacing w:after="20" w:before="20"/>
            </w:pPr>
            <w:r>
              <w:rPr>
                <w:sz w:val="19"/>
                <w:szCs w:val="19"/>
              </w:rPr>
              <w:t xml:space="preserve">~5%</w:t>
            </w:r>
          </w:p>
        </w:tc>
        <w:tc>
          <w:tcPr>
            <w:tcW w:type="dxa" w:w="1921"/>
            <w:tcMar>
              <w:top w:type="dxa" w:w="60"/>
              <w:left w:type="dxa" w:w="100"/>
              <w:bottom w:type="dxa" w:w="60"/>
              <w:right w:type="dxa" w:w="100"/>
            </w:tcMar>
          </w:tcPr>
          <w:p>
            <w:pPr>
              <w:spacing w:after="20" w:before="20"/>
            </w:pPr>
            <w:r>
              <w:rPr>
                <w:sz w:val="19"/>
                <w:szCs w:val="19"/>
              </w:rPr>
              <w:t xml:space="preserve">5% (41 tests)</w:t>
            </w:r>
          </w:p>
        </w:tc>
        <w:tc>
          <w:tcPr>
            <w:tcW w:type="dxa" w:w="1619"/>
            <w:tcMar>
              <w:top w:type="dxa" w:w="60"/>
              <w:left w:type="dxa" w:w="100"/>
              <w:bottom w:type="dxa" w:w="60"/>
              <w:right w:type="dxa" w:w="100"/>
            </w:tcMar>
          </w:tcPr>
          <w:p>
            <w:pPr>
              <w:spacing w:after="20" w:before="20"/>
            </w:pPr>
            <w:r>
              <w:rPr>
                <w:sz w:val="19"/>
                <w:szCs w:val="19"/>
              </w:rPr>
              <w:t xml:space="preserve">18 min</w:t>
            </w:r>
          </w:p>
        </w:tc>
        <w:tc>
          <w:tcPr>
            <w:tcW w:type="dxa" w:w="2580"/>
            <w:tcMar>
              <w:top w:type="dxa" w:w="60"/>
              <w:left w:type="dxa" w:w="100"/>
              <w:bottom w:type="dxa" w:w="60"/>
              <w:right w:type="dxa" w:w="100"/>
            </w:tcMar>
          </w:tcPr>
          <w:p>
            <w:pPr>
              <w:spacing w:after="20" w:before="20"/>
            </w:pPr>
            <w:r>
              <w:rPr>
                <w:sz w:val="19"/>
                <w:szCs w:val="19"/>
              </w:rPr>
              <w:t xml:space="preserve">Merge to main, nightly full matrix</w:t>
            </w:r>
          </w:p>
        </w:tc>
      </w:tr>
    </w:tbl>
    <w:p>
      <w:pPr>
        <w:spacing w:after="200"/>
      </w:pPr>
    </w:p>
    <w:p>
      <w:pPr>
        <w:spacing w:after="120" w:before="60" w:line="280"/>
      </w:pPr>
      <w:r>
        <w:rPr>
          <w:sz w:val="21"/>
          <w:szCs w:val="21"/>
        </w:rPr>
        <w:t xml:space="preserve">The E2E suite is deliberately capped at roughly 45 tests covering the eight critical journeys. Adding a test above the cap requires removing one, which forces the conversation about value.</w:t>
      </w:r>
    </w:p>
    <w:p>
      <w:pPr>
        <w:pStyle w:val="Heading3"/>
        <w:keepNext/>
        <w:spacing w:after="100" w:before="220"/>
      </w:pPr>
      <w:r>
        <w:rPr>
          <w:b/>
          <w:bCs/>
          <w:color w:val="2F5496"/>
          <w:sz w:val="22"/>
          <w:szCs w:val="22"/>
        </w:rPr>
        <w:t xml:space="preserve">6.2 Tooling</w:t>
      </w:r>
    </w:p>
    <w:p>
      <w:pPr>
        <w:spacing w:after="120" w:before="60" w:line="280"/>
      </w:pPr>
      <w:r>
        <w:rPr>
          <w:sz w:val="21"/>
          <w:szCs w:val="21"/>
        </w:rPr>
        <w:t xml:space="preserve">Jest and React Native Testing Library for client units; JUnit 5, Mockito, and Testcontainers for services; Pact for contracts; REST Assured for API integration; Detox for iOS/Android E2E on the merge pipeline; Appium on BrowserStack for the nightly device matrix; k6 for performance; axe-core for accessibility. All reporting flows to Allure and a Grafana quality dashboard.</w:t>
      </w:r>
    </w:p>
    <w:p>
      <w:pPr>
        <w:pStyle w:val="Heading3"/>
        <w:keepNext/>
        <w:spacing w:after="100" w:before="220"/>
      </w:pPr>
      <w:r>
        <w:rPr>
          <w:b/>
          <w:bCs/>
          <w:color w:val="2F5496"/>
          <w:sz w:val="22"/>
          <w:szCs w:val="22"/>
        </w:rPr>
        <w:t xml:space="preserve">6.3 Flakiness policy</w:t>
      </w:r>
    </w:p>
    <w:p>
      <w:pPr>
        <w:spacing w:after="120" w:before="60" w:line="280"/>
      </w:pPr>
      <w:r>
        <w:rPr>
          <w:sz w:val="21"/>
          <w:szCs w:val="21"/>
        </w:rPr>
        <w:t xml:space="preserve">A test failing intermittently twice in a rolling seven-day window is quarantined automatically and raises a ticket assigned to the owning squad. Quarantined tests must be fixed or deleted within five working days. Quarantine count is shown on the squad dashboard and discussed at the quality review. Retries are not used to mask flakiness on the merge pipeline.</w:t>
      </w:r>
    </w:p>
    <w:p>
      <w:pPr>
        <w:pStyle w:val="Heading3"/>
        <w:keepNext/>
        <w:spacing w:after="100" w:before="220"/>
      </w:pPr>
      <w:r>
        <w:rPr>
          <w:b/>
          <w:bCs/>
          <w:color w:val="2F5496"/>
          <w:sz w:val="22"/>
          <w:szCs w:val="22"/>
        </w:rPr>
        <w:t xml:space="preserve">6.4 What stays manual</w:t>
      </w:r>
    </w:p>
    <w:p>
      <w:pPr>
        <w:spacing w:after="120" w:before="60" w:line="280"/>
      </w:pPr>
      <w:r>
        <w:rPr>
          <w:sz w:val="21"/>
          <w:szCs w:val="21"/>
        </w:rPr>
        <w:t xml:space="preserve">First-run onboarding on physical devices, biometric enrolment, push notification delivery, store-submission smoke checks, and anything requiring visual or usability judgement.</w:t>
      </w:r>
    </w:p>
    <w:p>
      <w:pPr>
        <w:pStyle w:val="Heading2"/>
        <w:keepNext/>
        <w:spacing w:after="140" w:before="320"/>
      </w:pPr>
      <w:r>
        <w:rPr>
          <w:b/>
          <w:bCs/>
          <w:color w:val="1F3864"/>
          <w:sz w:val="25"/>
          <w:szCs w:val="25"/>
        </w:rPr>
        <w:t xml:space="preserve">7. Test Environments</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1496"/>
        <w:gridCol w:w="2497"/>
        <w:gridCol w:w="1984"/>
        <w:gridCol w:w="1828"/>
        <w:gridCol w:w="1941"/>
      </w:tblGrid>
      <w:tr>
        <w:trPr>
          <w:tblHeader/>
        </w:trPr>
        <w:tc>
          <w:tcPr>
            <w:tcW w:type="dxa" w:w="1496"/>
            <w:shd w:fill="E7EBF3" w:color="auto" w:val="clear"/>
            <w:tcMar>
              <w:top w:type="dxa" w:w="60"/>
              <w:left w:type="dxa" w:w="100"/>
              <w:bottom w:type="dxa" w:w="60"/>
              <w:right w:type="dxa" w:w="100"/>
            </w:tcMar>
          </w:tcPr>
          <w:p>
            <w:pPr>
              <w:spacing w:after="20" w:before="20"/>
            </w:pPr>
            <w:r>
              <w:rPr>
                <w:b/>
                <w:bCs/>
                <w:color w:val="1F3864"/>
                <w:sz w:val="19"/>
                <w:szCs w:val="19"/>
              </w:rPr>
              <w:t xml:space="preserve">Environment</w:t>
            </w:r>
          </w:p>
        </w:tc>
        <w:tc>
          <w:tcPr>
            <w:tcW w:type="dxa" w:w="2497"/>
            <w:shd w:fill="E7EBF3" w:color="auto" w:val="clear"/>
            <w:tcMar>
              <w:top w:type="dxa" w:w="60"/>
              <w:left w:type="dxa" w:w="100"/>
              <w:bottom w:type="dxa" w:w="60"/>
              <w:right w:type="dxa" w:w="100"/>
            </w:tcMar>
          </w:tcPr>
          <w:p>
            <w:pPr>
              <w:spacing w:after="20" w:before="20"/>
            </w:pPr>
            <w:r>
              <w:rPr>
                <w:b/>
                <w:bCs/>
                <w:color w:val="1F3864"/>
                <w:sz w:val="19"/>
                <w:szCs w:val="19"/>
              </w:rPr>
              <w:t xml:space="preserve">Purpose</w:t>
            </w:r>
          </w:p>
        </w:tc>
        <w:tc>
          <w:tcPr>
            <w:tcW w:type="dxa" w:w="1984"/>
            <w:shd w:fill="E7EBF3" w:color="auto" w:val="clear"/>
            <w:tcMar>
              <w:top w:type="dxa" w:w="60"/>
              <w:left w:type="dxa" w:w="100"/>
              <w:bottom w:type="dxa" w:w="60"/>
              <w:right w:type="dxa" w:w="100"/>
            </w:tcMar>
          </w:tcPr>
          <w:p>
            <w:pPr>
              <w:spacing w:after="20" w:before="20"/>
            </w:pPr>
            <w:r>
              <w:rPr>
                <w:b/>
                <w:bCs/>
                <w:color w:val="1F3864"/>
                <w:sz w:val="19"/>
                <w:szCs w:val="19"/>
              </w:rPr>
              <w:t xml:space="preserve">Data</w:t>
            </w:r>
          </w:p>
        </w:tc>
        <w:tc>
          <w:tcPr>
            <w:tcW w:type="dxa" w:w="1828"/>
            <w:shd w:fill="E7EBF3" w:color="auto" w:val="clear"/>
            <w:tcMar>
              <w:top w:type="dxa" w:w="60"/>
              <w:left w:type="dxa" w:w="100"/>
              <w:bottom w:type="dxa" w:w="60"/>
              <w:right w:type="dxa" w:w="100"/>
            </w:tcMar>
          </w:tcPr>
          <w:p>
            <w:pPr>
              <w:spacing w:after="20" w:before="20"/>
            </w:pPr>
            <w:r>
              <w:rPr>
                <w:b/>
                <w:bCs/>
                <w:color w:val="1F3864"/>
                <w:sz w:val="19"/>
                <w:szCs w:val="19"/>
              </w:rPr>
              <w:t xml:space="preserve">Third parties</w:t>
            </w:r>
          </w:p>
        </w:tc>
        <w:tc>
          <w:tcPr>
            <w:tcW w:type="dxa" w:w="1941"/>
            <w:shd w:fill="E7EBF3" w:color="auto" w:val="clear"/>
            <w:tcMar>
              <w:top w:type="dxa" w:w="60"/>
              <w:left w:type="dxa" w:w="100"/>
              <w:bottom w:type="dxa" w:w="60"/>
              <w:right w:type="dxa" w:w="100"/>
            </w:tcMar>
          </w:tcPr>
          <w:p>
            <w:pPr>
              <w:spacing w:after="20" w:before="20"/>
            </w:pPr>
            <w:r>
              <w:rPr>
                <w:b/>
                <w:bCs/>
                <w:color w:val="1F3864"/>
                <w:sz w:val="19"/>
                <w:szCs w:val="19"/>
              </w:rPr>
              <w:t xml:space="preserve">Refresh</w:t>
            </w:r>
          </w:p>
        </w:tc>
      </w:tr>
      <w:tr>
        <w:tc>
          <w:tcPr>
            <w:tcW w:type="dxa" w:w="1496"/>
            <w:tcMar>
              <w:top w:type="dxa" w:w="60"/>
              <w:left w:type="dxa" w:w="100"/>
              <w:bottom w:type="dxa" w:w="60"/>
              <w:right w:type="dxa" w:w="100"/>
            </w:tcMar>
          </w:tcPr>
          <w:p>
            <w:pPr>
              <w:spacing w:after="20" w:before="20"/>
            </w:pPr>
            <w:r>
              <w:rPr>
                <w:sz w:val="19"/>
                <w:szCs w:val="19"/>
              </w:rPr>
              <w:t xml:space="preserve">Local</w:t>
            </w:r>
          </w:p>
        </w:tc>
        <w:tc>
          <w:tcPr>
            <w:tcW w:type="dxa" w:w="2497"/>
            <w:tcMar>
              <w:top w:type="dxa" w:w="60"/>
              <w:left w:type="dxa" w:w="100"/>
              <w:bottom w:type="dxa" w:w="60"/>
              <w:right w:type="dxa" w:w="100"/>
            </w:tcMar>
          </w:tcPr>
          <w:p>
            <w:pPr>
              <w:spacing w:after="20" w:before="20"/>
            </w:pPr>
            <w:r>
              <w:rPr>
                <w:sz w:val="19"/>
                <w:szCs w:val="19"/>
              </w:rPr>
              <w:t xml:space="preserve">Developer inner loop</w:t>
            </w:r>
          </w:p>
        </w:tc>
        <w:tc>
          <w:tcPr>
            <w:tcW w:type="dxa" w:w="1984"/>
            <w:tcMar>
              <w:top w:type="dxa" w:w="60"/>
              <w:left w:type="dxa" w:w="100"/>
              <w:bottom w:type="dxa" w:w="60"/>
              <w:right w:type="dxa" w:w="100"/>
            </w:tcMar>
          </w:tcPr>
          <w:p>
            <w:pPr>
              <w:spacing w:after="20" w:before="20"/>
            </w:pPr>
            <w:r>
              <w:rPr>
                <w:sz w:val="19"/>
                <w:szCs w:val="19"/>
              </w:rPr>
              <w:t xml:space="preserve">Seeded fixtures</w:t>
            </w:r>
          </w:p>
        </w:tc>
        <w:tc>
          <w:tcPr>
            <w:tcW w:type="dxa" w:w="1828"/>
            <w:tcMar>
              <w:top w:type="dxa" w:w="60"/>
              <w:left w:type="dxa" w:w="100"/>
              <w:bottom w:type="dxa" w:w="60"/>
              <w:right w:type="dxa" w:w="100"/>
            </w:tcMar>
          </w:tcPr>
          <w:p>
            <w:pPr>
              <w:spacing w:after="20" w:before="20"/>
            </w:pPr>
            <w:r>
              <w:rPr>
                <w:sz w:val="19"/>
                <w:szCs w:val="19"/>
              </w:rPr>
              <w:t xml:space="preserve">Mocked</w:t>
            </w:r>
          </w:p>
        </w:tc>
        <w:tc>
          <w:tcPr>
            <w:tcW w:type="dxa" w:w="1941"/>
            <w:tcMar>
              <w:top w:type="dxa" w:w="60"/>
              <w:left w:type="dxa" w:w="100"/>
              <w:bottom w:type="dxa" w:w="60"/>
              <w:right w:type="dxa" w:w="100"/>
            </w:tcMar>
          </w:tcPr>
          <w:p>
            <w:pPr>
              <w:spacing w:after="20" w:before="20"/>
            </w:pPr>
            <w:r>
              <w:rPr>
                <w:sz w:val="19"/>
                <w:szCs w:val="19"/>
              </w:rPr>
              <w:t xml:space="preserve">On demand</w:t>
            </w:r>
          </w:p>
        </w:tc>
      </w:tr>
      <w:tr>
        <w:tc>
          <w:tcPr>
            <w:tcW w:type="dxa" w:w="1496"/>
            <w:shd w:fill="F7F8FA" w:color="auto" w:val="clear"/>
            <w:tcMar>
              <w:top w:type="dxa" w:w="60"/>
              <w:left w:type="dxa" w:w="100"/>
              <w:bottom w:type="dxa" w:w="60"/>
              <w:right w:type="dxa" w:w="100"/>
            </w:tcMar>
          </w:tcPr>
          <w:p>
            <w:pPr>
              <w:spacing w:after="20" w:before="20"/>
            </w:pPr>
            <w:r>
              <w:rPr>
                <w:sz w:val="19"/>
                <w:szCs w:val="19"/>
              </w:rPr>
              <w:t xml:space="preserve">PR preview</w:t>
            </w:r>
          </w:p>
        </w:tc>
        <w:tc>
          <w:tcPr>
            <w:tcW w:type="dxa" w:w="2497"/>
            <w:shd w:fill="F7F8FA" w:color="auto" w:val="clear"/>
            <w:tcMar>
              <w:top w:type="dxa" w:w="60"/>
              <w:left w:type="dxa" w:w="100"/>
              <w:bottom w:type="dxa" w:w="60"/>
              <w:right w:type="dxa" w:w="100"/>
            </w:tcMar>
          </w:tcPr>
          <w:p>
            <w:pPr>
              <w:spacing w:after="20" w:before="20"/>
            </w:pPr>
            <w:r>
              <w:rPr>
                <w:sz w:val="19"/>
                <w:szCs w:val="19"/>
              </w:rPr>
              <w:t xml:space="preserve">Per-branch verification, auto-provisioned</w:t>
            </w:r>
          </w:p>
        </w:tc>
        <w:tc>
          <w:tcPr>
            <w:tcW w:type="dxa" w:w="1984"/>
            <w:shd w:fill="F7F8FA" w:color="auto" w:val="clear"/>
            <w:tcMar>
              <w:top w:type="dxa" w:w="60"/>
              <w:left w:type="dxa" w:w="100"/>
              <w:bottom w:type="dxa" w:w="60"/>
              <w:right w:type="dxa" w:w="100"/>
            </w:tcMar>
          </w:tcPr>
          <w:p>
            <w:pPr>
              <w:spacing w:after="20" w:before="20"/>
            </w:pPr>
            <w:r>
              <w:rPr>
                <w:sz w:val="19"/>
                <w:szCs w:val="19"/>
              </w:rPr>
              <w:t xml:space="preserve">Seeded fixtures</w:t>
            </w:r>
          </w:p>
        </w:tc>
        <w:tc>
          <w:tcPr>
            <w:tcW w:type="dxa" w:w="1828"/>
            <w:shd w:fill="F7F8FA" w:color="auto" w:val="clear"/>
            <w:tcMar>
              <w:top w:type="dxa" w:w="60"/>
              <w:left w:type="dxa" w:w="100"/>
              <w:bottom w:type="dxa" w:w="60"/>
              <w:right w:type="dxa" w:w="100"/>
            </w:tcMar>
          </w:tcPr>
          <w:p>
            <w:pPr>
              <w:spacing w:after="20" w:before="20"/>
            </w:pPr>
            <w:r>
              <w:rPr>
                <w:sz w:val="19"/>
                <w:szCs w:val="19"/>
              </w:rPr>
              <w:t xml:space="preserve">WireMock stubs</w:t>
            </w:r>
          </w:p>
        </w:tc>
        <w:tc>
          <w:tcPr>
            <w:tcW w:type="dxa" w:w="1941"/>
            <w:shd w:fill="F7F8FA" w:color="auto" w:val="clear"/>
            <w:tcMar>
              <w:top w:type="dxa" w:w="60"/>
              <w:left w:type="dxa" w:w="100"/>
              <w:bottom w:type="dxa" w:w="60"/>
              <w:right w:type="dxa" w:w="100"/>
            </w:tcMar>
          </w:tcPr>
          <w:p>
            <w:pPr>
              <w:spacing w:after="20" w:before="20"/>
            </w:pPr>
            <w:r>
              <w:rPr>
                <w:sz w:val="19"/>
                <w:szCs w:val="19"/>
              </w:rPr>
              <w:t xml:space="preserve">Per branch, torn down on merge</w:t>
            </w:r>
          </w:p>
        </w:tc>
      </w:tr>
      <w:tr>
        <w:tc>
          <w:tcPr>
            <w:tcW w:type="dxa" w:w="1496"/>
            <w:tcMar>
              <w:top w:type="dxa" w:w="60"/>
              <w:left w:type="dxa" w:w="100"/>
              <w:bottom w:type="dxa" w:w="60"/>
              <w:right w:type="dxa" w:w="100"/>
            </w:tcMar>
          </w:tcPr>
          <w:p>
            <w:pPr>
              <w:spacing w:after="20" w:before="20"/>
            </w:pPr>
            <w:r>
              <w:rPr>
                <w:sz w:val="19"/>
                <w:szCs w:val="19"/>
              </w:rPr>
              <w:t xml:space="preserve">Integration</w:t>
            </w:r>
          </w:p>
        </w:tc>
        <w:tc>
          <w:tcPr>
            <w:tcW w:type="dxa" w:w="2497"/>
            <w:tcMar>
              <w:top w:type="dxa" w:w="60"/>
              <w:left w:type="dxa" w:w="100"/>
              <w:bottom w:type="dxa" w:w="60"/>
              <w:right w:type="dxa" w:w="100"/>
            </w:tcMar>
          </w:tcPr>
          <w:p>
            <w:pPr>
              <w:spacing w:after="20" w:before="20"/>
            </w:pPr>
            <w:r>
              <w:rPr>
                <w:sz w:val="19"/>
                <w:szCs w:val="19"/>
              </w:rPr>
              <w:t xml:space="preserve">Cross-service journeys</w:t>
            </w:r>
          </w:p>
        </w:tc>
        <w:tc>
          <w:tcPr>
            <w:tcW w:type="dxa" w:w="1984"/>
            <w:tcMar>
              <w:top w:type="dxa" w:w="60"/>
              <w:left w:type="dxa" w:w="100"/>
              <w:bottom w:type="dxa" w:w="60"/>
              <w:right w:type="dxa" w:w="100"/>
            </w:tcMar>
          </w:tcPr>
          <w:p>
            <w:pPr>
              <w:spacing w:after="20" w:before="20"/>
            </w:pPr>
            <w:r>
              <w:rPr>
                <w:sz w:val="19"/>
                <w:szCs w:val="19"/>
              </w:rPr>
              <w:t xml:space="preserve">Synthetic, 400 personas</w:t>
            </w:r>
          </w:p>
        </w:tc>
        <w:tc>
          <w:tcPr>
            <w:tcW w:type="dxa" w:w="1828"/>
            <w:tcMar>
              <w:top w:type="dxa" w:w="60"/>
              <w:left w:type="dxa" w:w="100"/>
              <w:bottom w:type="dxa" w:w="60"/>
              <w:right w:type="dxa" w:w="100"/>
            </w:tcMar>
          </w:tcPr>
          <w:p>
            <w:pPr>
              <w:spacing w:after="20" w:before="20"/>
            </w:pPr>
            <w:r>
              <w:rPr>
                <w:sz w:val="19"/>
                <w:szCs w:val="19"/>
              </w:rPr>
              <w:t xml:space="preserve">Core banking sandbox</w:t>
            </w:r>
          </w:p>
        </w:tc>
        <w:tc>
          <w:tcPr>
            <w:tcW w:type="dxa" w:w="1941"/>
            <w:tcMar>
              <w:top w:type="dxa" w:w="60"/>
              <w:left w:type="dxa" w:w="100"/>
              <w:bottom w:type="dxa" w:w="60"/>
              <w:right w:type="dxa" w:w="100"/>
            </w:tcMar>
          </w:tcPr>
          <w:p>
            <w:pPr>
              <w:spacing w:after="20" w:before="20"/>
            </w:pPr>
            <w:r>
              <w:rPr>
                <w:sz w:val="19"/>
                <w:szCs w:val="19"/>
              </w:rPr>
              <w:t xml:space="preserve">Nightly reseed</w:t>
            </w:r>
          </w:p>
        </w:tc>
      </w:tr>
      <w:tr>
        <w:tc>
          <w:tcPr>
            <w:tcW w:type="dxa" w:w="1496"/>
            <w:shd w:fill="F7F8FA" w:color="auto" w:val="clear"/>
            <w:tcMar>
              <w:top w:type="dxa" w:w="60"/>
              <w:left w:type="dxa" w:w="100"/>
              <w:bottom w:type="dxa" w:w="60"/>
              <w:right w:type="dxa" w:w="100"/>
            </w:tcMar>
          </w:tcPr>
          <w:p>
            <w:pPr>
              <w:spacing w:after="20" w:before="20"/>
            </w:pPr>
            <w:r>
              <w:rPr>
                <w:sz w:val="19"/>
                <w:szCs w:val="19"/>
              </w:rPr>
              <w:t xml:space="preserve">Staging</w:t>
            </w:r>
          </w:p>
        </w:tc>
        <w:tc>
          <w:tcPr>
            <w:tcW w:type="dxa" w:w="2497"/>
            <w:shd w:fill="F7F8FA" w:color="auto" w:val="clear"/>
            <w:tcMar>
              <w:top w:type="dxa" w:w="60"/>
              <w:left w:type="dxa" w:w="100"/>
              <w:bottom w:type="dxa" w:w="60"/>
              <w:right w:type="dxa" w:w="100"/>
            </w:tcMar>
          </w:tcPr>
          <w:p>
            <w:pPr>
              <w:spacing w:after="20" w:before="20"/>
            </w:pPr>
            <w:r>
              <w:rPr>
                <w:sz w:val="19"/>
                <w:szCs w:val="19"/>
              </w:rPr>
              <w:t xml:space="preserve">Release candidate, UAT, performance</w:t>
            </w:r>
          </w:p>
        </w:tc>
        <w:tc>
          <w:tcPr>
            <w:tcW w:type="dxa" w:w="1984"/>
            <w:shd w:fill="F7F8FA" w:color="auto" w:val="clear"/>
            <w:tcMar>
              <w:top w:type="dxa" w:w="60"/>
              <w:left w:type="dxa" w:w="100"/>
              <w:bottom w:type="dxa" w:w="60"/>
              <w:right w:type="dxa" w:w="100"/>
            </w:tcMar>
          </w:tcPr>
          <w:p>
            <w:pPr>
              <w:spacing w:after="20" w:before="20"/>
            </w:pPr>
            <w:r>
              <w:rPr>
                <w:sz w:val="19"/>
                <w:szCs w:val="19"/>
              </w:rPr>
              <w:t xml:space="preserve">Masked production subset</w:t>
            </w:r>
          </w:p>
        </w:tc>
        <w:tc>
          <w:tcPr>
            <w:tcW w:type="dxa" w:w="1828"/>
            <w:shd w:fill="F7F8FA" w:color="auto" w:val="clear"/>
            <w:tcMar>
              <w:top w:type="dxa" w:w="60"/>
              <w:left w:type="dxa" w:w="100"/>
              <w:bottom w:type="dxa" w:w="60"/>
              <w:right w:type="dxa" w:w="100"/>
            </w:tcMar>
          </w:tcPr>
          <w:p>
            <w:pPr>
              <w:spacing w:after="20" w:before="20"/>
            </w:pPr>
            <w:r>
              <w:rPr>
                <w:sz w:val="19"/>
                <w:szCs w:val="19"/>
              </w:rPr>
              <w:t xml:space="preserve">Vendor sandboxes</w:t>
            </w:r>
          </w:p>
        </w:tc>
        <w:tc>
          <w:tcPr>
            <w:tcW w:type="dxa" w:w="1941"/>
            <w:shd w:fill="F7F8FA" w:color="auto" w:val="clear"/>
            <w:tcMar>
              <w:top w:type="dxa" w:w="60"/>
              <w:left w:type="dxa" w:w="100"/>
              <w:bottom w:type="dxa" w:w="60"/>
              <w:right w:type="dxa" w:w="100"/>
            </w:tcMar>
          </w:tcPr>
          <w:p>
            <w:pPr>
              <w:spacing w:after="20" w:before="20"/>
            </w:pPr>
            <w:r>
              <w:rPr>
                <w:sz w:val="19"/>
                <w:szCs w:val="19"/>
              </w:rPr>
              <w:t xml:space="preserve">Weekly</w:t>
            </w:r>
          </w:p>
        </w:tc>
      </w:tr>
      <w:tr>
        <w:tc>
          <w:tcPr>
            <w:tcW w:type="dxa" w:w="1496"/>
            <w:tcMar>
              <w:top w:type="dxa" w:w="60"/>
              <w:left w:type="dxa" w:w="100"/>
              <w:bottom w:type="dxa" w:w="60"/>
              <w:right w:type="dxa" w:w="100"/>
            </w:tcMar>
          </w:tcPr>
          <w:p>
            <w:pPr>
              <w:spacing w:after="20" w:before="20"/>
            </w:pPr>
            <w:r>
              <w:rPr>
                <w:sz w:val="19"/>
                <w:szCs w:val="19"/>
              </w:rPr>
              <w:t xml:space="preserve">Production</w:t>
            </w:r>
          </w:p>
        </w:tc>
        <w:tc>
          <w:tcPr>
            <w:tcW w:type="dxa" w:w="2497"/>
            <w:tcMar>
              <w:top w:type="dxa" w:w="60"/>
              <w:left w:type="dxa" w:w="100"/>
              <w:bottom w:type="dxa" w:w="60"/>
              <w:right w:type="dxa" w:w="100"/>
            </w:tcMar>
          </w:tcPr>
          <w:p>
            <w:pPr>
              <w:spacing w:after="20" w:before="20"/>
            </w:pPr>
            <w:r>
              <w:rPr>
                <w:sz w:val="19"/>
                <w:szCs w:val="19"/>
              </w:rPr>
              <w:t xml:space="preserve">Live</w:t>
            </w:r>
          </w:p>
        </w:tc>
        <w:tc>
          <w:tcPr>
            <w:tcW w:type="dxa" w:w="1984"/>
            <w:tcMar>
              <w:top w:type="dxa" w:w="60"/>
              <w:left w:type="dxa" w:w="100"/>
              <w:bottom w:type="dxa" w:w="60"/>
              <w:right w:type="dxa" w:w="100"/>
            </w:tcMar>
          </w:tcPr>
          <w:p>
            <w:pPr>
              <w:spacing w:after="20" w:before="20"/>
            </w:pPr>
            <w:r>
              <w:rPr>
                <w:sz w:val="19"/>
                <w:szCs w:val="19"/>
              </w:rPr>
              <w:t xml:space="preserve">Live</w:t>
            </w:r>
          </w:p>
        </w:tc>
        <w:tc>
          <w:tcPr>
            <w:tcW w:type="dxa" w:w="1828"/>
            <w:tcMar>
              <w:top w:type="dxa" w:w="60"/>
              <w:left w:type="dxa" w:w="100"/>
              <w:bottom w:type="dxa" w:w="60"/>
              <w:right w:type="dxa" w:w="100"/>
            </w:tcMar>
          </w:tcPr>
          <w:p>
            <w:pPr>
              <w:spacing w:after="20" w:before="20"/>
            </w:pPr>
            <w:r>
              <w:rPr>
                <w:sz w:val="19"/>
                <w:szCs w:val="19"/>
              </w:rPr>
              <w:t xml:space="preserve">Live</w:t>
            </w:r>
          </w:p>
        </w:tc>
        <w:tc>
          <w:tcPr>
            <w:tcW w:type="dxa" w:w="1941"/>
            <w:tcMar>
              <w:top w:type="dxa" w:w="60"/>
              <w:left w:type="dxa" w:w="100"/>
              <w:bottom w:type="dxa" w:w="60"/>
              <w:right w:type="dxa" w:w="100"/>
            </w:tcMar>
          </w:tcPr>
          <w:p>
            <w:pPr>
              <w:spacing w:after="20" w:before="20"/>
            </w:pPr>
            <w:r>
              <w:rPr>
                <w:sz w:val="19"/>
                <w:szCs w:val="19"/>
              </w:rPr>
              <w:t xml:space="preserve">n/a</w:t>
            </w:r>
          </w:p>
        </w:tc>
      </w:tr>
    </w:tbl>
    <w:p>
      <w:pPr>
        <w:spacing w:after="200"/>
      </w:pPr>
    </w:p>
    <w:p>
      <w:pPr>
        <w:spacing w:after="120" w:before="60" w:line="280"/>
      </w:pPr>
      <w:r>
        <w:rPr>
          <w:b/>
          <w:bCs/>
          <w:sz w:val="21"/>
          <w:szCs w:val="21"/>
        </w:rPr>
        <w:t xml:space="preserve">Known constraints.</w:t>
      </w:r>
      <w:r>
        <w:rPr>
          <w:sz w:val="21"/>
          <w:szCs w:val="21"/>
        </w:rPr>
        <w:t xml:space="preserve"> The core banking sandbox is available 07:00–21:00 IST on weekdays and rate-limited to 50 requests per second. Nightly integration runs are scheduled inside that window. The card processor sandbox resets balances weekly, so tests must not depend on cumulative state.</w:t>
      </w:r>
    </w:p>
    <w:p>
      <w:pPr>
        <w:pStyle w:val="Heading2"/>
        <w:keepNext/>
        <w:spacing w:after="140" w:before="320"/>
      </w:pPr>
      <w:r>
        <w:rPr>
          <w:b/>
          <w:bCs/>
          <w:color w:val="1F3864"/>
          <w:sz w:val="25"/>
          <w:szCs w:val="25"/>
        </w:rPr>
        <w:t xml:space="preserve">8. Test Data Management</w:t>
      </w:r>
    </w:p>
    <w:p>
      <w:pPr>
        <w:spacing w:after="120" w:before="60" w:line="280"/>
      </w:pPr>
      <w:r>
        <w:rPr>
          <w:sz w:val="21"/>
          <w:szCs w:val="21"/>
        </w:rPr>
        <w:t xml:space="preserve">Test data is synthetic by default. Personas are generated by a seeding service and version-controlled alongside the test code, so a checkout reproduces the data set exactly. Staging uses a masked production subset refreshed weekly: names, identifiers, contact details, and account numbers are irreversibly tokenised; balances are scaled by a random factor. Production data is never copied to any environment below staging.</w:t>
      </w:r>
    </w:p>
    <w:p>
      <w:pPr>
        <w:spacing w:after="120" w:before="60" w:line="280"/>
      </w:pPr>
      <w:r>
        <w:rPr>
          <w:sz w:val="21"/>
          <w:szCs w:val="21"/>
        </w:rPr>
        <w:t xml:space="preserve">Each automated test creates the entities it needs and cleans up after itself; shared mutable fixtures are prohibited because they cause order-dependent failures. Access to staging data is logged and reviewed monthly by Information Security.</w:t>
      </w:r>
    </w:p>
    <w:p>
      <w:pPr>
        <w:pStyle w:val="Heading2"/>
        <w:keepNext/>
        <w:spacing w:after="140" w:before="320"/>
      </w:pPr>
      <w:r>
        <w:rPr>
          <w:b/>
          <w:bCs/>
          <w:color w:val="1F3864"/>
          <w:sz w:val="25"/>
          <w:szCs w:val="25"/>
        </w:rPr>
        <w:t xml:space="preserve">9. Defect Management</w:t>
      </w:r>
    </w:p>
    <w:p>
      <w:pPr>
        <w:spacing w:after="120" w:before="60" w:line="280"/>
      </w:pPr>
      <w:r>
        <w:rPr>
          <w:sz w:val="21"/>
          <w:szCs w:val="21"/>
        </w:rPr>
        <w:t xml:space="preserve">Defects are tracked in Jira alongside stories. A defect found within the sprint against an in-progress story is fixed in the sprint and not raised as a separate ticket — it is simply work not yet done.</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1265"/>
        <w:gridCol w:w="4172"/>
        <w:gridCol w:w="1714"/>
        <w:gridCol w:w="2595"/>
      </w:tblGrid>
      <w:tr>
        <w:trPr>
          <w:tblHeader/>
        </w:trPr>
        <w:tc>
          <w:tcPr>
            <w:tcW w:type="dxa" w:w="1265"/>
            <w:shd w:fill="E7EBF3" w:color="auto" w:val="clear"/>
            <w:tcMar>
              <w:top w:type="dxa" w:w="60"/>
              <w:left w:type="dxa" w:w="100"/>
              <w:bottom w:type="dxa" w:w="60"/>
              <w:right w:type="dxa" w:w="100"/>
            </w:tcMar>
          </w:tcPr>
          <w:p>
            <w:pPr>
              <w:spacing w:after="20" w:before="20"/>
            </w:pPr>
            <w:r>
              <w:rPr>
                <w:b/>
                <w:bCs/>
                <w:color w:val="1F3864"/>
                <w:sz w:val="19"/>
                <w:szCs w:val="19"/>
              </w:rPr>
              <w:t xml:space="preserve">Severity</w:t>
            </w:r>
          </w:p>
        </w:tc>
        <w:tc>
          <w:tcPr>
            <w:tcW w:type="dxa" w:w="4172"/>
            <w:shd w:fill="E7EBF3" w:color="auto" w:val="clear"/>
            <w:tcMar>
              <w:top w:type="dxa" w:w="60"/>
              <w:left w:type="dxa" w:w="100"/>
              <w:bottom w:type="dxa" w:w="60"/>
              <w:right w:type="dxa" w:w="100"/>
            </w:tcMar>
          </w:tcPr>
          <w:p>
            <w:pPr>
              <w:spacing w:after="20" w:before="20"/>
            </w:pPr>
            <w:r>
              <w:rPr>
                <w:b/>
                <w:bCs/>
                <w:color w:val="1F3864"/>
                <w:sz w:val="19"/>
                <w:szCs w:val="19"/>
              </w:rPr>
              <w:t xml:space="preserve">Definition</w:t>
            </w:r>
          </w:p>
        </w:tc>
        <w:tc>
          <w:tcPr>
            <w:tcW w:type="dxa" w:w="1714"/>
            <w:shd w:fill="E7EBF3" w:color="auto" w:val="clear"/>
            <w:tcMar>
              <w:top w:type="dxa" w:w="60"/>
              <w:left w:type="dxa" w:w="100"/>
              <w:bottom w:type="dxa" w:w="60"/>
              <w:right w:type="dxa" w:w="100"/>
            </w:tcMar>
          </w:tcPr>
          <w:p>
            <w:pPr>
              <w:spacing w:after="20" w:before="20"/>
            </w:pPr>
            <w:r>
              <w:rPr>
                <w:b/>
                <w:bCs/>
                <w:color w:val="1F3864"/>
                <w:sz w:val="19"/>
                <w:szCs w:val="19"/>
              </w:rPr>
              <w:t xml:space="preserve">Acknowledge</w:t>
            </w:r>
          </w:p>
        </w:tc>
        <w:tc>
          <w:tcPr>
            <w:tcW w:type="dxa" w:w="2595"/>
            <w:shd w:fill="E7EBF3" w:color="auto" w:val="clear"/>
            <w:tcMar>
              <w:top w:type="dxa" w:w="60"/>
              <w:left w:type="dxa" w:w="100"/>
              <w:bottom w:type="dxa" w:w="60"/>
              <w:right w:type="dxa" w:w="100"/>
            </w:tcMar>
          </w:tcPr>
          <w:p>
            <w:pPr>
              <w:spacing w:after="20" w:before="20"/>
            </w:pPr>
            <w:r>
              <w:rPr>
                <w:b/>
                <w:bCs/>
                <w:color w:val="1F3864"/>
                <w:sz w:val="19"/>
                <w:szCs w:val="19"/>
              </w:rPr>
              <w:t xml:space="preserve">Fix target</w:t>
            </w:r>
          </w:p>
        </w:tc>
      </w:tr>
      <w:tr>
        <w:tc>
          <w:tcPr>
            <w:tcW w:type="dxa" w:w="1265"/>
            <w:tcMar>
              <w:top w:type="dxa" w:w="60"/>
              <w:left w:type="dxa" w:w="100"/>
              <w:bottom w:type="dxa" w:w="60"/>
              <w:right w:type="dxa" w:w="100"/>
            </w:tcMar>
          </w:tcPr>
          <w:p>
            <w:pPr>
              <w:spacing w:after="20" w:before="20"/>
            </w:pPr>
            <w:r>
              <w:rPr>
                <w:sz w:val="19"/>
                <w:szCs w:val="19"/>
              </w:rPr>
              <w:t xml:space="preserve">S1</w:t>
            </w:r>
          </w:p>
        </w:tc>
        <w:tc>
          <w:tcPr>
            <w:tcW w:type="dxa" w:w="4172"/>
            <w:tcMar>
              <w:top w:type="dxa" w:w="60"/>
              <w:left w:type="dxa" w:w="100"/>
              <w:bottom w:type="dxa" w:w="60"/>
              <w:right w:type="dxa" w:w="100"/>
            </w:tcMar>
          </w:tcPr>
          <w:p>
            <w:pPr>
              <w:spacing w:after="20" w:before="20"/>
            </w:pPr>
            <w:r>
              <w:rPr>
                <w:sz w:val="19"/>
                <w:szCs w:val="19"/>
              </w:rPr>
              <w:t xml:space="preserve">Money at risk, data exposure, or app unusable for a significant user segment</w:t>
            </w:r>
          </w:p>
        </w:tc>
        <w:tc>
          <w:tcPr>
            <w:tcW w:type="dxa" w:w="1714"/>
            <w:tcMar>
              <w:top w:type="dxa" w:w="60"/>
              <w:left w:type="dxa" w:w="100"/>
              <w:bottom w:type="dxa" w:w="60"/>
              <w:right w:type="dxa" w:w="100"/>
            </w:tcMar>
          </w:tcPr>
          <w:p>
            <w:pPr>
              <w:spacing w:after="20" w:before="20"/>
            </w:pPr>
            <w:r>
              <w:rPr>
                <w:sz w:val="19"/>
                <w:szCs w:val="19"/>
              </w:rPr>
              <w:t xml:space="preserve">15 min</w:t>
            </w:r>
          </w:p>
        </w:tc>
        <w:tc>
          <w:tcPr>
            <w:tcW w:type="dxa" w:w="2595"/>
            <w:tcMar>
              <w:top w:type="dxa" w:w="60"/>
              <w:left w:type="dxa" w:w="100"/>
              <w:bottom w:type="dxa" w:w="60"/>
              <w:right w:type="dxa" w:w="100"/>
            </w:tcMar>
          </w:tcPr>
          <w:p>
            <w:pPr>
              <w:spacing w:after="20" w:before="20"/>
            </w:pPr>
            <w:r>
              <w:rPr>
                <w:sz w:val="19"/>
                <w:szCs w:val="19"/>
              </w:rPr>
              <w:t xml:space="preserve">Immediate hotfix</w:t>
            </w:r>
          </w:p>
        </w:tc>
      </w:tr>
      <w:tr>
        <w:tc>
          <w:tcPr>
            <w:tcW w:type="dxa" w:w="1265"/>
            <w:shd w:fill="F7F8FA" w:color="auto" w:val="clear"/>
            <w:tcMar>
              <w:top w:type="dxa" w:w="60"/>
              <w:left w:type="dxa" w:w="100"/>
              <w:bottom w:type="dxa" w:w="60"/>
              <w:right w:type="dxa" w:w="100"/>
            </w:tcMar>
          </w:tcPr>
          <w:p>
            <w:pPr>
              <w:spacing w:after="20" w:before="20"/>
            </w:pPr>
            <w:r>
              <w:rPr>
                <w:sz w:val="19"/>
                <w:szCs w:val="19"/>
              </w:rPr>
              <w:t xml:space="preserve">S2</w:t>
            </w:r>
          </w:p>
        </w:tc>
        <w:tc>
          <w:tcPr>
            <w:tcW w:type="dxa" w:w="4172"/>
            <w:shd w:fill="F7F8FA" w:color="auto" w:val="clear"/>
            <w:tcMar>
              <w:top w:type="dxa" w:w="60"/>
              <w:left w:type="dxa" w:w="100"/>
              <w:bottom w:type="dxa" w:w="60"/>
              <w:right w:type="dxa" w:w="100"/>
            </w:tcMar>
          </w:tcPr>
          <w:p>
            <w:pPr>
              <w:spacing w:after="20" w:before="20"/>
            </w:pPr>
            <w:r>
              <w:rPr>
                <w:sz w:val="19"/>
                <w:szCs w:val="19"/>
              </w:rPr>
              <w:t xml:space="preserve">Core journey broken with no workaround</w:t>
            </w:r>
          </w:p>
        </w:tc>
        <w:tc>
          <w:tcPr>
            <w:tcW w:type="dxa" w:w="1714"/>
            <w:shd w:fill="F7F8FA" w:color="auto" w:val="clear"/>
            <w:tcMar>
              <w:top w:type="dxa" w:w="60"/>
              <w:left w:type="dxa" w:w="100"/>
              <w:bottom w:type="dxa" w:w="60"/>
              <w:right w:type="dxa" w:w="100"/>
            </w:tcMar>
          </w:tcPr>
          <w:p>
            <w:pPr>
              <w:spacing w:after="20" w:before="20"/>
            </w:pPr>
            <w:r>
              <w:rPr>
                <w:sz w:val="19"/>
                <w:szCs w:val="19"/>
              </w:rPr>
              <w:t xml:space="preserve">2 hours</w:t>
            </w:r>
          </w:p>
        </w:tc>
        <w:tc>
          <w:tcPr>
            <w:tcW w:type="dxa" w:w="2595"/>
            <w:shd w:fill="F7F8FA" w:color="auto" w:val="clear"/>
            <w:tcMar>
              <w:top w:type="dxa" w:w="60"/>
              <w:left w:type="dxa" w:w="100"/>
              <w:bottom w:type="dxa" w:w="60"/>
              <w:right w:type="dxa" w:w="100"/>
            </w:tcMar>
          </w:tcPr>
          <w:p>
            <w:pPr>
              <w:spacing w:after="20" w:before="20"/>
            </w:pPr>
            <w:r>
              <w:rPr>
                <w:sz w:val="19"/>
                <w:szCs w:val="19"/>
              </w:rPr>
              <w:t xml:space="preserve">Current sprint</w:t>
            </w:r>
          </w:p>
        </w:tc>
      </w:tr>
      <w:tr>
        <w:tc>
          <w:tcPr>
            <w:tcW w:type="dxa" w:w="1265"/>
            <w:tcMar>
              <w:top w:type="dxa" w:w="60"/>
              <w:left w:type="dxa" w:w="100"/>
              <w:bottom w:type="dxa" w:w="60"/>
              <w:right w:type="dxa" w:w="100"/>
            </w:tcMar>
          </w:tcPr>
          <w:p>
            <w:pPr>
              <w:spacing w:after="20" w:before="20"/>
            </w:pPr>
            <w:r>
              <w:rPr>
                <w:sz w:val="19"/>
                <w:szCs w:val="19"/>
              </w:rPr>
              <w:t xml:space="preserve">S3</w:t>
            </w:r>
          </w:p>
        </w:tc>
        <w:tc>
          <w:tcPr>
            <w:tcW w:type="dxa" w:w="4172"/>
            <w:tcMar>
              <w:top w:type="dxa" w:w="60"/>
              <w:left w:type="dxa" w:w="100"/>
              <w:bottom w:type="dxa" w:w="60"/>
              <w:right w:type="dxa" w:w="100"/>
            </w:tcMar>
          </w:tcPr>
          <w:p>
            <w:pPr>
              <w:spacing w:after="20" w:before="20"/>
            </w:pPr>
            <w:r>
              <w:rPr>
                <w:sz w:val="19"/>
                <w:szCs w:val="19"/>
              </w:rPr>
              <w:t xml:space="preserve">Non-core defect or workaround exists</w:t>
            </w:r>
          </w:p>
        </w:tc>
        <w:tc>
          <w:tcPr>
            <w:tcW w:type="dxa" w:w="1714"/>
            <w:tcMar>
              <w:top w:type="dxa" w:w="60"/>
              <w:left w:type="dxa" w:w="100"/>
              <w:bottom w:type="dxa" w:w="60"/>
              <w:right w:type="dxa" w:w="100"/>
            </w:tcMar>
          </w:tcPr>
          <w:p>
            <w:pPr>
              <w:spacing w:after="20" w:before="20"/>
            </w:pPr>
            <w:r>
              <w:rPr>
                <w:sz w:val="19"/>
                <w:szCs w:val="19"/>
              </w:rPr>
              <w:t xml:space="preserve">1 day</w:t>
            </w:r>
          </w:p>
        </w:tc>
        <w:tc>
          <w:tcPr>
            <w:tcW w:type="dxa" w:w="2595"/>
            <w:tcMar>
              <w:top w:type="dxa" w:w="60"/>
              <w:left w:type="dxa" w:w="100"/>
              <w:bottom w:type="dxa" w:w="60"/>
              <w:right w:type="dxa" w:w="100"/>
            </w:tcMar>
          </w:tcPr>
          <w:p>
            <w:pPr>
              <w:spacing w:after="20" w:before="20"/>
            </w:pPr>
            <w:r>
              <w:rPr>
                <w:sz w:val="19"/>
                <w:szCs w:val="19"/>
              </w:rPr>
              <w:t xml:space="preserve">Backlog, prioritised by PO</w:t>
            </w:r>
          </w:p>
        </w:tc>
      </w:tr>
      <w:tr>
        <w:tc>
          <w:tcPr>
            <w:tcW w:type="dxa" w:w="1265"/>
            <w:shd w:fill="F7F8FA" w:color="auto" w:val="clear"/>
            <w:tcMar>
              <w:top w:type="dxa" w:w="60"/>
              <w:left w:type="dxa" w:w="100"/>
              <w:bottom w:type="dxa" w:w="60"/>
              <w:right w:type="dxa" w:w="100"/>
            </w:tcMar>
          </w:tcPr>
          <w:p>
            <w:pPr>
              <w:spacing w:after="20" w:before="20"/>
            </w:pPr>
            <w:r>
              <w:rPr>
                <w:sz w:val="19"/>
                <w:szCs w:val="19"/>
              </w:rPr>
              <w:t xml:space="preserve">S4</w:t>
            </w:r>
          </w:p>
        </w:tc>
        <w:tc>
          <w:tcPr>
            <w:tcW w:type="dxa" w:w="4172"/>
            <w:shd w:fill="F7F8FA" w:color="auto" w:val="clear"/>
            <w:tcMar>
              <w:top w:type="dxa" w:w="60"/>
              <w:left w:type="dxa" w:w="100"/>
              <w:bottom w:type="dxa" w:w="60"/>
              <w:right w:type="dxa" w:w="100"/>
            </w:tcMar>
          </w:tcPr>
          <w:p>
            <w:pPr>
              <w:spacing w:after="20" w:before="20"/>
            </w:pPr>
            <w:r>
              <w:rPr>
                <w:sz w:val="19"/>
                <w:szCs w:val="19"/>
              </w:rPr>
              <w:t xml:space="preserve">Cosmetic, no functional effect</w:t>
            </w:r>
          </w:p>
        </w:tc>
        <w:tc>
          <w:tcPr>
            <w:tcW w:type="dxa" w:w="1714"/>
            <w:shd w:fill="F7F8FA" w:color="auto" w:val="clear"/>
            <w:tcMar>
              <w:top w:type="dxa" w:w="60"/>
              <w:left w:type="dxa" w:w="100"/>
              <w:bottom w:type="dxa" w:w="60"/>
              <w:right w:type="dxa" w:w="100"/>
            </w:tcMar>
          </w:tcPr>
          <w:p>
            <w:pPr>
              <w:spacing w:after="20" w:before="20"/>
            </w:pPr>
            <w:r>
              <w:rPr>
                <w:sz w:val="19"/>
                <w:szCs w:val="19"/>
              </w:rPr>
              <w:t xml:space="preserve">1 week</w:t>
            </w:r>
          </w:p>
        </w:tc>
        <w:tc>
          <w:tcPr>
            <w:tcW w:type="dxa" w:w="2595"/>
            <w:shd w:fill="F7F8FA" w:color="auto" w:val="clear"/>
            <w:tcMar>
              <w:top w:type="dxa" w:w="60"/>
              <w:left w:type="dxa" w:w="100"/>
              <w:bottom w:type="dxa" w:w="60"/>
              <w:right w:type="dxa" w:w="100"/>
            </w:tcMar>
          </w:tcPr>
          <w:p>
            <w:pPr>
              <w:spacing w:after="20" w:before="20"/>
            </w:pPr>
            <w:r>
              <w:rPr>
                <w:sz w:val="19"/>
                <w:szCs w:val="19"/>
              </w:rPr>
              <w:t xml:space="preserve">Opportunistic</w:t>
            </w:r>
          </w:p>
        </w:tc>
      </w:tr>
    </w:tbl>
    <w:p>
      <w:pPr>
        <w:spacing w:after="200"/>
      </w:pPr>
    </w:p>
    <w:p>
      <w:pPr>
        <w:spacing w:after="120" w:before="60" w:line="280"/>
      </w:pPr>
      <w:r>
        <w:rPr>
          <w:sz w:val="21"/>
          <w:szCs w:val="21"/>
        </w:rPr>
        <w:t xml:space="preserve">Severity is set by QA on evidence; priority is set by the Product Owner on business value. Where they conflict, the conflict is visible and resolved at triage rather than argued into the ticket.</w:t>
      </w:r>
    </w:p>
    <w:p>
      <w:pPr>
        <w:spacing w:after="120" w:before="60" w:line="280"/>
      </w:pPr>
      <w:r>
        <w:rPr>
          <w:sz w:val="21"/>
          <w:szCs w:val="21"/>
        </w:rPr>
        <w:t xml:space="preserve">Triage runs daily at 09:45 for S1/S2 (QA Lead, Engineering Manager, PO on call) and weekly for the rest. Production S1s trigger a blameless post-incident review within five working days, with at least one durable test added as an outcome.</w:t>
      </w:r>
    </w:p>
    <w:p>
      <w:pPr>
        <w:pStyle w:val="Heading2"/>
        <w:keepNext/>
        <w:spacing w:after="140" w:before="320"/>
      </w:pPr>
      <w:r>
        <w:rPr>
          <w:b/>
          <w:bCs/>
          <w:color w:val="1F3864"/>
          <w:sz w:val="25"/>
          <w:szCs w:val="25"/>
        </w:rPr>
        <w:t xml:space="preserve">10. Release Readiness</w:t>
      </w:r>
    </w:p>
    <w:p>
      <w:pPr>
        <w:spacing w:after="120" w:before="60" w:line="280"/>
      </w:pPr>
      <w:r>
        <w:rPr>
          <w:sz w:val="21"/>
          <w:szCs w:val="21"/>
        </w:rPr>
        <w:t xml:space="preserve">There is no phase-gate sign-off. The release train departs when the checklist is green:</w:t>
      </w:r>
    </w:p>
    <w:p>
      <w:pPr>
        <w:pStyle w:val="ListParagraph"/>
        <w:numPr>
          <w:ilvl w:val="0"/>
          <w:numId w:val="1"/>
        </w:numPr>
        <w:spacing w:after="40" w:before="40"/>
      </w:pPr>
      <w:r>
        <w:rPr>
          <w:sz w:val="21"/>
          <w:szCs w:val="21"/>
        </w:rPr>
        <w:t xml:space="preserve">All stories in the increment meet the Definition of Done.</w:t>
      </w:r>
    </w:p>
    <w:p>
      <w:pPr>
        <w:pStyle w:val="ListParagraph"/>
        <w:numPr>
          <w:ilvl w:val="0"/>
          <w:numId w:val="1"/>
        </w:numPr>
        <w:spacing w:after="40" w:before="40"/>
      </w:pPr>
      <w:r>
        <w:rPr>
          <w:sz w:val="21"/>
          <w:szCs w:val="21"/>
        </w:rPr>
        <w:t xml:space="preserve">Automated regression green on main; zero quarantined tests on critical journeys.</w:t>
      </w:r>
    </w:p>
    <w:p>
      <w:pPr>
        <w:pStyle w:val="ListParagraph"/>
        <w:numPr>
          <w:ilvl w:val="0"/>
          <w:numId w:val="1"/>
        </w:numPr>
        <w:spacing w:after="40" w:before="40"/>
      </w:pPr>
      <w:r>
        <w:rPr>
          <w:sz w:val="21"/>
          <w:szCs w:val="21"/>
        </w:rPr>
        <w:t xml:space="preserve">No open S1 or S2 defects.</w:t>
      </w:r>
    </w:p>
    <w:p>
      <w:pPr>
        <w:pStyle w:val="ListParagraph"/>
        <w:numPr>
          <w:ilvl w:val="0"/>
          <w:numId w:val="1"/>
        </w:numPr>
        <w:spacing w:after="40" w:before="40"/>
      </w:pPr>
      <w:r>
        <w:rPr>
          <w:sz w:val="21"/>
          <w:szCs w:val="21"/>
        </w:rPr>
        <w:t xml:space="preserve">Performance run within thresholds (see §11).</w:t>
      </w:r>
    </w:p>
    <w:p>
      <w:pPr>
        <w:pStyle w:val="ListParagraph"/>
        <w:numPr>
          <w:ilvl w:val="0"/>
          <w:numId w:val="1"/>
        </w:numPr>
        <w:spacing w:after="40" w:before="40"/>
      </w:pPr>
      <w:r>
        <w:rPr>
          <w:sz w:val="21"/>
          <w:szCs w:val="21"/>
        </w:rPr>
        <w:t xml:space="preserve">Security scan clean of high or critical findings.</w:t>
      </w:r>
    </w:p>
    <w:p>
      <w:pPr>
        <w:pStyle w:val="ListParagraph"/>
        <w:numPr>
          <w:ilvl w:val="0"/>
          <w:numId w:val="1"/>
        </w:numPr>
        <w:spacing w:after="40" w:before="40"/>
      </w:pPr>
      <w:r>
        <w:rPr>
          <w:sz w:val="21"/>
          <w:szCs w:val="21"/>
        </w:rPr>
        <w:t xml:space="preserve">Accessibility scan clean on the eight core journeys.</w:t>
      </w:r>
    </w:p>
    <w:p>
      <w:pPr>
        <w:pStyle w:val="ListParagraph"/>
        <w:numPr>
          <w:ilvl w:val="0"/>
          <w:numId w:val="1"/>
        </w:numPr>
        <w:spacing w:after="40" w:before="40"/>
      </w:pPr>
      <w:r>
        <w:rPr>
          <w:sz w:val="21"/>
          <w:szCs w:val="21"/>
        </w:rPr>
        <w:t xml:space="preserve">Product Owner has accepted the increment in staging.</w:t>
      </w:r>
    </w:p>
    <w:p>
      <w:pPr>
        <w:pStyle w:val="ListParagraph"/>
        <w:numPr>
          <w:ilvl w:val="0"/>
          <w:numId w:val="1"/>
        </w:numPr>
        <w:spacing w:after="40" w:before="40"/>
      </w:pPr>
      <w:r>
        <w:rPr>
          <w:sz w:val="21"/>
          <w:szCs w:val="21"/>
        </w:rPr>
        <w:t xml:space="preserve">Rollback plan documented and the previous build available.</w:t>
      </w:r>
    </w:p>
    <w:p>
      <w:pPr>
        <w:pStyle w:val="ListParagraph"/>
        <w:numPr>
          <w:ilvl w:val="0"/>
          <w:numId w:val="1"/>
        </w:numPr>
        <w:spacing w:after="40" w:before="40"/>
      </w:pPr>
      <w:r>
        <w:rPr>
          <w:sz w:val="21"/>
          <w:szCs w:val="21"/>
        </w:rPr>
        <w:t xml:space="preserve">Observability dashboards and alerts updated for new behaviour.</w:t>
      </w:r>
    </w:p>
    <w:p>
      <w:pPr>
        <w:spacing w:after="120" w:before="60" w:line="280"/>
      </w:pPr>
      <w:r>
        <w:rPr>
          <w:b/>
          <w:bCs/>
          <w:sz w:val="21"/>
          <w:szCs w:val="21"/>
        </w:rPr>
        <w:t xml:space="preserve">Suspension.</w:t>
      </w:r>
      <w:r>
        <w:rPr>
          <w:sz w:val="21"/>
          <w:szCs w:val="21"/>
        </w:rPr>
        <w:t xml:space="preserve"> If more than three S2 defects are open against the release candidate, or if the integration environment is unavailable for more than four hours, the train is held and the release manager notified. It resumes when the triggering condition clears and the full regression suite has re-run green.</w:t>
      </w:r>
    </w:p>
    <w:p>
      <w:pPr>
        <w:pStyle w:val="Heading2"/>
        <w:keepNext/>
        <w:spacing w:after="140" w:before="320"/>
      </w:pPr>
      <w:r>
        <w:rPr>
          <w:b/>
          <w:bCs/>
          <w:color w:val="1F3864"/>
          <w:sz w:val="25"/>
          <w:szCs w:val="25"/>
        </w:rPr>
        <w:t xml:space="preserve">11. Non-Functional Testing</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1120"/>
        <w:gridCol w:w="1966"/>
        <w:gridCol w:w="2263"/>
        <w:gridCol w:w="1928"/>
        <w:gridCol w:w="2469"/>
      </w:tblGrid>
      <w:tr>
        <w:trPr>
          <w:tblHeader/>
        </w:trPr>
        <w:tc>
          <w:tcPr>
            <w:tcW w:type="dxa" w:w="1120"/>
            <w:shd w:fill="E7EBF3" w:color="auto" w:val="clear"/>
            <w:tcMar>
              <w:top w:type="dxa" w:w="60"/>
              <w:left w:type="dxa" w:w="100"/>
              <w:bottom w:type="dxa" w:w="60"/>
              <w:right w:type="dxa" w:w="100"/>
            </w:tcMar>
          </w:tcPr>
          <w:p>
            <w:pPr>
              <w:spacing w:after="20" w:before="20"/>
            </w:pPr>
            <w:r>
              <w:rPr>
                <w:b/>
                <w:bCs/>
                <w:color w:val="1F3864"/>
                <w:sz w:val="19"/>
                <w:szCs w:val="19"/>
              </w:rPr>
              <w:t xml:space="preserve">Attribute</w:t>
            </w:r>
          </w:p>
        </w:tc>
        <w:tc>
          <w:tcPr>
            <w:tcW w:type="dxa" w:w="1966"/>
            <w:shd w:fill="E7EBF3" w:color="auto" w:val="clear"/>
            <w:tcMar>
              <w:top w:type="dxa" w:w="60"/>
              <w:left w:type="dxa" w:w="100"/>
              <w:bottom w:type="dxa" w:w="60"/>
              <w:right w:type="dxa" w:w="100"/>
            </w:tcMar>
          </w:tcPr>
          <w:p>
            <w:pPr>
              <w:spacing w:after="20" w:before="20"/>
            </w:pPr>
            <w:r>
              <w:rPr>
                <w:b/>
                <w:bCs/>
                <w:color w:val="1F3864"/>
                <w:sz w:val="19"/>
                <w:szCs w:val="19"/>
              </w:rPr>
              <w:t xml:space="preserve">Requirement</w:t>
            </w:r>
          </w:p>
        </w:tc>
        <w:tc>
          <w:tcPr>
            <w:tcW w:type="dxa" w:w="2263"/>
            <w:shd w:fill="E7EBF3" w:color="auto" w:val="clear"/>
            <w:tcMar>
              <w:top w:type="dxa" w:w="60"/>
              <w:left w:type="dxa" w:w="100"/>
              <w:bottom w:type="dxa" w:w="60"/>
              <w:right w:type="dxa" w:w="100"/>
            </w:tcMar>
          </w:tcPr>
          <w:p>
            <w:pPr>
              <w:spacing w:after="20" w:before="20"/>
            </w:pPr>
            <w:r>
              <w:rPr>
                <w:b/>
                <w:bCs/>
                <w:color w:val="1F3864"/>
                <w:sz w:val="19"/>
                <w:szCs w:val="19"/>
              </w:rPr>
              <w:t xml:space="preserve">Method</w:t>
            </w:r>
          </w:p>
        </w:tc>
        <w:tc>
          <w:tcPr>
            <w:tcW w:type="dxa" w:w="1928"/>
            <w:shd w:fill="E7EBF3" w:color="auto" w:val="clear"/>
            <w:tcMar>
              <w:top w:type="dxa" w:w="60"/>
              <w:left w:type="dxa" w:w="100"/>
              <w:bottom w:type="dxa" w:w="60"/>
              <w:right w:type="dxa" w:w="100"/>
            </w:tcMar>
          </w:tcPr>
          <w:p>
            <w:pPr>
              <w:spacing w:after="20" w:before="20"/>
            </w:pPr>
            <w:r>
              <w:rPr>
                <w:b/>
                <w:bCs/>
                <w:color w:val="1F3864"/>
                <w:sz w:val="19"/>
                <w:szCs w:val="19"/>
              </w:rPr>
              <w:t xml:space="preserve">Cadence</w:t>
            </w:r>
          </w:p>
        </w:tc>
        <w:tc>
          <w:tcPr>
            <w:tcW w:type="dxa" w:w="2469"/>
            <w:shd w:fill="E7EBF3" w:color="auto" w:val="clear"/>
            <w:tcMar>
              <w:top w:type="dxa" w:w="60"/>
              <w:left w:type="dxa" w:w="100"/>
              <w:bottom w:type="dxa" w:w="60"/>
              <w:right w:type="dxa" w:w="100"/>
            </w:tcMar>
          </w:tcPr>
          <w:p>
            <w:pPr>
              <w:spacing w:after="20" w:before="20"/>
            </w:pPr>
            <w:r>
              <w:rPr>
                <w:b/>
                <w:bCs/>
                <w:color w:val="1F3864"/>
                <w:sz w:val="19"/>
                <w:szCs w:val="19"/>
              </w:rPr>
              <w:t xml:space="preserve">Pass criteria</w:t>
            </w:r>
          </w:p>
        </w:tc>
      </w:tr>
      <w:tr>
        <w:tc>
          <w:tcPr>
            <w:tcW w:type="dxa" w:w="1120"/>
            <w:tcMar>
              <w:top w:type="dxa" w:w="60"/>
              <w:left w:type="dxa" w:w="100"/>
              <w:bottom w:type="dxa" w:w="60"/>
              <w:right w:type="dxa" w:w="100"/>
            </w:tcMar>
          </w:tcPr>
          <w:p>
            <w:pPr>
              <w:spacing w:after="20" w:before="20"/>
            </w:pPr>
            <w:r>
              <w:rPr>
                <w:sz w:val="19"/>
                <w:szCs w:val="19"/>
              </w:rPr>
              <w:t xml:space="preserve">Performance</w:t>
            </w:r>
          </w:p>
        </w:tc>
        <w:tc>
          <w:tcPr>
            <w:tcW w:type="dxa" w:w="1966"/>
            <w:tcMar>
              <w:top w:type="dxa" w:w="60"/>
              <w:left w:type="dxa" w:w="100"/>
              <w:bottom w:type="dxa" w:w="60"/>
              <w:right w:type="dxa" w:w="100"/>
            </w:tcMar>
          </w:tcPr>
          <w:p>
            <w:pPr>
              <w:spacing w:after="20" w:before="20"/>
            </w:pPr>
            <w:r>
              <w:rPr>
                <w:sz w:val="19"/>
                <w:szCs w:val="19"/>
              </w:rPr>
              <w:t xml:space="preserve">Balance API p95 &lt; 400 ms at 500 rps</w:t>
            </w:r>
          </w:p>
        </w:tc>
        <w:tc>
          <w:tcPr>
            <w:tcW w:type="dxa" w:w="2263"/>
            <w:tcMar>
              <w:top w:type="dxa" w:w="60"/>
              <w:left w:type="dxa" w:w="100"/>
              <w:bottom w:type="dxa" w:w="60"/>
              <w:right w:type="dxa" w:w="100"/>
            </w:tcMar>
          </w:tcPr>
          <w:p>
            <w:pPr>
              <w:spacing w:after="20" w:before="20"/>
            </w:pPr>
            <w:r>
              <w:rPr>
                <w:sz w:val="19"/>
                <w:szCs w:val="19"/>
              </w:rPr>
              <w:t xml:space="preserve">k6 load profile against staging</w:t>
            </w:r>
          </w:p>
        </w:tc>
        <w:tc>
          <w:tcPr>
            <w:tcW w:type="dxa" w:w="1928"/>
            <w:tcMar>
              <w:top w:type="dxa" w:w="60"/>
              <w:left w:type="dxa" w:w="100"/>
              <w:bottom w:type="dxa" w:w="60"/>
              <w:right w:type="dxa" w:w="100"/>
            </w:tcMar>
          </w:tcPr>
          <w:p>
            <w:pPr>
              <w:spacing w:after="20" w:before="20"/>
            </w:pPr>
            <w:r>
              <w:rPr>
                <w:sz w:val="19"/>
                <w:szCs w:val="19"/>
              </w:rPr>
              <w:t xml:space="preserve">Every release; on any data-layer change</w:t>
            </w:r>
          </w:p>
        </w:tc>
        <w:tc>
          <w:tcPr>
            <w:tcW w:type="dxa" w:w="2469"/>
            <w:tcMar>
              <w:top w:type="dxa" w:w="60"/>
              <w:left w:type="dxa" w:w="100"/>
              <w:bottom w:type="dxa" w:w="60"/>
              <w:right w:type="dxa" w:w="100"/>
            </w:tcMar>
          </w:tcPr>
          <w:p>
            <w:pPr>
              <w:spacing w:after="20" w:before="20"/>
            </w:pPr>
            <w:r>
              <w:rPr>
                <w:sz w:val="19"/>
                <w:szCs w:val="19"/>
              </w:rPr>
              <w:t xml:space="preserve">p95 within threshold, error rate &lt; 0.1%</w:t>
            </w:r>
          </w:p>
        </w:tc>
      </w:tr>
      <w:tr>
        <w:tc>
          <w:tcPr>
            <w:tcW w:type="dxa" w:w="1120"/>
            <w:shd w:fill="F7F8FA" w:color="auto" w:val="clear"/>
            <w:tcMar>
              <w:top w:type="dxa" w:w="60"/>
              <w:left w:type="dxa" w:w="100"/>
              <w:bottom w:type="dxa" w:w="60"/>
              <w:right w:type="dxa" w:w="100"/>
            </w:tcMar>
          </w:tcPr>
          <w:p>
            <w:pPr>
              <w:spacing w:after="20" w:before="20"/>
            </w:pPr>
            <w:r>
              <w:rPr>
                <w:sz w:val="19"/>
                <w:szCs w:val="19"/>
              </w:rPr>
              <w:t xml:space="preserve">Scalability</w:t>
            </w:r>
          </w:p>
        </w:tc>
        <w:tc>
          <w:tcPr>
            <w:tcW w:type="dxa" w:w="1966"/>
            <w:shd w:fill="F7F8FA" w:color="auto" w:val="clear"/>
            <w:tcMar>
              <w:top w:type="dxa" w:w="60"/>
              <w:left w:type="dxa" w:w="100"/>
              <w:bottom w:type="dxa" w:w="60"/>
              <w:right w:type="dxa" w:w="100"/>
            </w:tcMar>
          </w:tcPr>
          <w:p>
            <w:pPr>
              <w:spacing w:after="20" w:before="20"/>
            </w:pPr>
            <w:r>
              <w:rPr>
                <w:sz w:val="19"/>
                <w:szCs w:val="19"/>
              </w:rPr>
              <w:t xml:space="preserve">Handle 3× peak (payday) load</w:t>
            </w:r>
          </w:p>
        </w:tc>
        <w:tc>
          <w:tcPr>
            <w:tcW w:type="dxa" w:w="2263"/>
            <w:shd w:fill="F7F8FA" w:color="auto" w:val="clear"/>
            <w:tcMar>
              <w:top w:type="dxa" w:w="60"/>
              <w:left w:type="dxa" w:w="100"/>
              <w:bottom w:type="dxa" w:w="60"/>
              <w:right w:type="dxa" w:w="100"/>
            </w:tcMar>
          </w:tcPr>
          <w:p>
            <w:pPr>
              <w:spacing w:after="20" w:before="20"/>
            </w:pPr>
            <w:r>
              <w:rPr>
                <w:sz w:val="19"/>
                <w:szCs w:val="19"/>
              </w:rPr>
              <w:t xml:space="preserve">Soak test, 2 hours</w:t>
            </w:r>
          </w:p>
        </w:tc>
        <w:tc>
          <w:tcPr>
            <w:tcW w:type="dxa" w:w="1928"/>
            <w:shd w:fill="F7F8FA" w:color="auto" w:val="clear"/>
            <w:tcMar>
              <w:top w:type="dxa" w:w="60"/>
              <w:left w:type="dxa" w:w="100"/>
              <w:bottom w:type="dxa" w:w="60"/>
              <w:right w:type="dxa" w:w="100"/>
            </w:tcMar>
          </w:tcPr>
          <w:p>
            <w:pPr>
              <w:spacing w:after="20" w:before="20"/>
            </w:pPr>
            <w:r>
              <w:rPr>
                <w:sz w:val="19"/>
                <w:szCs w:val="19"/>
              </w:rPr>
              <w:t xml:space="preserve">Quarterly</w:t>
            </w:r>
          </w:p>
        </w:tc>
        <w:tc>
          <w:tcPr>
            <w:tcW w:type="dxa" w:w="2469"/>
            <w:shd w:fill="F7F8FA" w:color="auto" w:val="clear"/>
            <w:tcMar>
              <w:top w:type="dxa" w:w="60"/>
              <w:left w:type="dxa" w:w="100"/>
              <w:bottom w:type="dxa" w:w="60"/>
              <w:right w:type="dxa" w:w="100"/>
            </w:tcMar>
          </w:tcPr>
          <w:p>
            <w:pPr>
              <w:spacing w:after="20" w:before="20"/>
            </w:pPr>
            <w:r>
              <w:rPr>
                <w:sz w:val="19"/>
                <w:szCs w:val="19"/>
              </w:rPr>
              <w:t xml:space="preserve">No memory growth, no degradation over the run</w:t>
            </w:r>
          </w:p>
        </w:tc>
      </w:tr>
      <w:tr>
        <w:tc>
          <w:tcPr>
            <w:tcW w:type="dxa" w:w="1120"/>
            <w:tcMar>
              <w:top w:type="dxa" w:w="60"/>
              <w:left w:type="dxa" w:w="100"/>
              <w:bottom w:type="dxa" w:w="60"/>
              <w:right w:type="dxa" w:w="100"/>
            </w:tcMar>
          </w:tcPr>
          <w:p>
            <w:pPr>
              <w:spacing w:after="20" w:before="20"/>
            </w:pPr>
            <w:r>
              <w:rPr>
                <w:sz w:val="19"/>
                <w:szCs w:val="19"/>
              </w:rPr>
              <w:t xml:space="preserve">Security</w:t>
            </w:r>
          </w:p>
        </w:tc>
        <w:tc>
          <w:tcPr>
            <w:tcW w:type="dxa" w:w="1966"/>
            <w:tcMar>
              <w:top w:type="dxa" w:w="60"/>
              <w:left w:type="dxa" w:w="100"/>
              <w:bottom w:type="dxa" w:w="60"/>
              <w:right w:type="dxa" w:w="100"/>
            </w:tcMar>
          </w:tcPr>
          <w:p>
            <w:pPr>
              <w:spacing w:after="20" w:before="20"/>
            </w:pPr>
            <w:r>
              <w:rPr>
                <w:sz w:val="19"/>
                <w:szCs w:val="19"/>
              </w:rPr>
              <w:t xml:space="preserve">No high/critical findings</w:t>
            </w:r>
          </w:p>
        </w:tc>
        <w:tc>
          <w:tcPr>
            <w:tcW w:type="dxa" w:w="2263"/>
            <w:tcMar>
              <w:top w:type="dxa" w:w="60"/>
              <w:left w:type="dxa" w:w="100"/>
              <w:bottom w:type="dxa" w:w="60"/>
              <w:right w:type="dxa" w:w="100"/>
            </w:tcMar>
          </w:tcPr>
          <w:p>
            <w:pPr>
              <w:spacing w:after="20" w:before="20"/>
            </w:pPr>
            <w:r>
              <w:rPr>
                <w:sz w:val="19"/>
                <w:szCs w:val="19"/>
              </w:rPr>
              <w:t xml:space="preserve">SAST and dependency scan in pipeline; DAST on staging; external penetration test</w:t>
            </w:r>
          </w:p>
        </w:tc>
        <w:tc>
          <w:tcPr>
            <w:tcW w:type="dxa" w:w="1928"/>
            <w:tcMar>
              <w:top w:type="dxa" w:w="60"/>
              <w:left w:type="dxa" w:w="100"/>
              <w:bottom w:type="dxa" w:w="60"/>
              <w:right w:type="dxa" w:w="100"/>
            </w:tcMar>
          </w:tcPr>
          <w:p>
            <w:pPr>
              <w:spacing w:after="20" w:before="20"/>
            </w:pPr>
            <w:r>
              <w:rPr>
                <w:sz w:val="19"/>
                <w:szCs w:val="19"/>
              </w:rPr>
              <w:t xml:space="preserve">Pipeline: every PR. Pen test: half-yearly and on any auth change</w:t>
            </w:r>
          </w:p>
        </w:tc>
        <w:tc>
          <w:tcPr>
            <w:tcW w:type="dxa" w:w="2469"/>
            <w:tcMar>
              <w:top w:type="dxa" w:w="60"/>
              <w:left w:type="dxa" w:w="100"/>
              <w:bottom w:type="dxa" w:w="60"/>
              <w:right w:type="dxa" w:w="100"/>
            </w:tcMar>
          </w:tcPr>
          <w:p>
            <w:pPr>
              <w:spacing w:after="20" w:before="20"/>
            </w:pPr>
            <w:r>
              <w:rPr>
                <w:sz w:val="19"/>
                <w:szCs w:val="19"/>
              </w:rPr>
              <w:t xml:space="preserve">Zero high/critical unremediated</w:t>
            </w:r>
          </w:p>
        </w:tc>
      </w:tr>
      <w:tr>
        <w:tc>
          <w:tcPr>
            <w:tcW w:type="dxa" w:w="1120"/>
            <w:shd w:fill="F7F8FA" w:color="auto" w:val="clear"/>
            <w:tcMar>
              <w:top w:type="dxa" w:w="60"/>
              <w:left w:type="dxa" w:w="100"/>
              <w:bottom w:type="dxa" w:w="60"/>
              <w:right w:type="dxa" w:w="100"/>
            </w:tcMar>
          </w:tcPr>
          <w:p>
            <w:pPr>
              <w:spacing w:after="20" w:before="20"/>
            </w:pPr>
            <w:r>
              <w:rPr>
                <w:sz w:val="19"/>
                <w:szCs w:val="19"/>
              </w:rPr>
              <w:t xml:space="preserve">Accessibility</w:t>
            </w:r>
          </w:p>
        </w:tc>
        <w:tc>
          <w:tcPr>
            <w:tcW w:type="dxa" w:w="1966"/>
            <w:shd w:fill="F7F8FA" w:color="auto" w:val="clear"/>
            <w:tcMar>
              <w:top w:type="dxa" w:w="60"/>
              <w:left w:type="dxa" w:w="100"/>
              <w:bottom w:type="dxa" w:w="60"/>
              <w:right w:type="dxa" w:w="100"/>
            </w:tcMar>
          </w:tcPr>
          <w:p>
            <w:pPr>
              <w:spacing w:after="20" w:before="20"/>
            </w:pPr>
            <w:r>
              <w:rPr>
                <w:sz w:val="19"/>
                <w:szCs w:val="19"/>
              </w:rPr>
              <w:t xml:space="preserve">WCAG 2.2 AA on core journeys</w:t>
            </w:r>
          </w:p>
        </w:tc>
        <w:tc>
          <w:tcPr>
            <w:tcW w:type="dxa" w:w="2263"/>
            <w:shd w:fill="F7F8FA" w:color="auto" w:val="clear"/>
            <w:tcMar>
              <w:top w:type="dxa" w:w="60"/>
              <w:left w:type="dxa" w:w="100"/>
              <w:bottom w:type="dxa" w:w="60"/>
              <w:right w:type="dxa" w:w="100"/>
            </w:tcMar>
          </w:tcPr>
          <w:p>
            <w:pPr>
              <w:spacing w:after="20" w:before="20"/>
            </w:pPr>
            <w:r>
              <w:rPr>
                <w:sz w:val="19"/>
                <w:szCs w:val="19"/>
              </w:rPr>
              <w:t xml:space="preserve">axe-core in CI; manual VoiceOver and TalkBack walkthrough</w:t>
            </w:r>
          </w:p>
        </w:tc>
        <w:tc>
          <w:tcPr>
            <w:tcW w:type="dxa" w:w="1928"/>
            <w:shd w:fill="F7F8FA" w:color="auto" w:val="clear"/>
            <w:tcMar>
              <w:top w:type="dxa" w:w="60"/>
              <w:left w:type="dxa" w:w="100"/>
              <w:bottom w:type="dxa" w:w="60"/>
              <w:right w:type="dxa" w:w="100"/>
            </w:tcMar>
          </w:tcPr>
          <w:p>
            <w:pPr>
              <w:spacing w:after="20" w:before="20"/>
            </w:pPr>
            <w:r>
              <w:rPr>
                <w:sz w:val="19"/>
                <w:szCs w:val="19"/>
              </w:rPr>
              <w:t xml:space="preserve">CI continuous; manual per release</w:t>
            </w:r>
          </w:p>
        </w:tc>
        <w:tc>
          <w:tcPr>
            <w:tcW w:type="dxa" w:w="2469"/>
            <w:shd w:fill="F7F8FA" w:color="auto" w:val="clear"/>
            <w:tcMar>
              <w:top w:type="dxa" w:w="60"/>
              <w:left w:type="dxa" w:w="100"/>
              <w:bottom w:type="dxa" w:w="60"/>
              <w:right w:type="dxa" w:w="100"/>
            </w:tcMar>
          </w:tcPr>
          <w:p>
            <w:pPr>
              <w:spacing w:after="20" w:before="20"/>
            </w:pPr>
            <w:r>
              <w:rPr>
                <w:sz w:val="19"/>
                <w:szCs w:val="19"/>
              </w:rPr>
              <w:t xml:space="preserve">Zero AA violations on core journeys</w:t>
            </w:r>
          </w:p>
        </w:tc>
      </w:tr>
      <w:tr>
        <w:tc>
          <w:tcPr>
            <w:tcW w:type="dxa" w:w="1120"/>
            <w:tcMar>
              <w:top w:type="dxa" w:w="60"/>
              <w:left w:type="dxa" w:w="100"/>
              <w:bottom w:type="dxa" w:w="60"/>
              <w:right w:type="dxa" w:w="100"/>
            </w:tcMar>
          </w:tcPr>
          <w:p>
            <w:pPr>
              <w:spacing w:after="20" w:before="20"/>
            </w:pPr>
            <w:r>
              <w:rPr>
                <w:sz w:val="19"/>
                <w:szCs w:val="19"/>
              </w:rPr>
              <w:t xml:space="preserve">Resilience</w:t>
            </w:r>
          </w:p>
        </w:tc>
        <w:tc>
          <w:tcPr>
            <w:tcW w:type="dxa" w:w="1966"/>
            <w:tcMar>
              <w:top w:type="dxa" w:w="60"/>
              <w:left w:type="dxa" w:w="100"/>
              <w:bottom w:type="dxa" w:w="60"/>
              <w:right w:type="dxa" w:w="100"/>
            </w:tcMar>
          </w:tcPr>
          <w:p>
            <w:pPr>
              <w:spacing w:after="20" w:before="20"/>
            </w:pPr>
            <w:r>
              <w:rPr>
                <w:sz w:val="19"/>
                <w:szCs w:val="19"/>
              </w:rPr>
              <w:t xml:space="preserve">Graceful degradation when core banking is down</w:t>
            </w:r>
          </w:p>
        </w:tc>
        <w:tc>
          <w:tcPr>
            <w:tcW w:type="dxa" w:w="2263"/>
            <w:tcMar>
              <w:top w:type="dxa" w:w="60"/>
              <w:left w:type="dxa" w:w="100"/>
              <w:bottom w:type="dxa" w:w="60"/>
              <w:right w:type="dxa" w:w="100"/>
            </w:tcMar>
          </w:tcPr>
          <w:p>
            <w:pPr>
              <w:spacing w:after="20" w:before="20"/>
            </w:pPr>
            <w:r>
              <w:rPr>
                <w:sz w:val="19"/>
                <w:szCs w:val="19"/>
              </w:rPr>
              <w:t xml:space="preserve">Fault injection in staging</w:t>
            </w:r>
          </w:p>
        </w:tc>
        <w:tc>
          <w:tcPr>
            <w:tcW w:type="dxa" w:w="1928"/>
            <w:tcMar>
              <w:top w:type="dxa" w:w="60"/>
              <w:left w:type="dxa" w:w="100"/>
              <w:bottom w:type="dxa" w:w="60"/>
              <w:right w:type="dxa" w:w="100"/>
            </w:tcMar>
          </w:tcPr>
          <w:p>
            <w:pPr>
              <w:spacing w:after="20" w:before="20"/>
            </w:pPr>
            <w:r>
              <w:rPr>
                <w:sz w:val="19"/>
                <w:szCs w:val="19"/>
              </w:rPr>
              <w:t xml:space="preserve">Monthly</w:t>
            </w:r>
          </w:p>
        </w:tc>
        <w:tc>
          <w:tcPr>
            <w:tcW w:type="dxa" w:w="2469"/>
            <w:tcMar>
              <w:top w:type="dxa" w:w="60"/>
              <w:left w:type="dxa" w:w="100"/>
              <w:bottom w:type="dxa" w:w="60"/>
              <w:right w:type="dxa" w:w="100"/>
            </w:tcMar>
          </w:tcPr>
          <w:p>
            <w:pPr>
              <w:spacing w:after="20" w:before="20"/>
            </w:pPr>
            <w:r>
              <w:rPr>
                <w:sz w:val="19"/>
                <w:szCs w:val="19"/>
              </w:rPr>
              <w:t xml:space="preserve">Cached balance shown with clear messaging; no crash; no failed payment left in ambiguous state</w:t>
            </w:r>
          </w:p>
        </w:tc>
      </w:tr>
      <w:tr>
        <w:tc>
          <w:tcPr>
            <w:tcW w:type="dxa" w:w="1120"/>
            <w:shd w:fill="F7F8FA" w:color="auto" w:val="clear"/>
            <w:tcMar>
              <w:top w:type="dxa" w:w="60"/>
              <w:left w:type="dxa" w:w="100"/>
              <w:bottom w:type="dxa" w:w="60"/>
              <w:right w:type="dxa" w:w="100"/>
            </w:tcMar>
          </w:tcPr>
          <w:p>
            <w:pPr>
              <w:spacing w:after="20" w:before="20"/>
            </w:pPr>
            <w:r>
              <w:rPr>
                <w:sz w:val="19"/>
                <w:szCs w:val="19"/>
              </w:rPr>
              <w:t xml:space="preserve">Compatibility</w:t>
            </w:r>
          </w:p>
        </w:tc>
        <w:tc>
          <w:tcPr>
            <w:tcW w:type="dxa" w:w="1966"/>
            <w:shd w:fill="F7F8FA" w:color="auto" w:val="clear"/>
            <w:tcMar>
              <w:top w:type="dxa" w:w="60"/>
              <w:left w:type="dxa" w:w="100"/>
              <w:bottom w:type="dxa" w:w="60"/>
              <w:right w:type="dxa" w:w="100"/>
            </w:tcMar>
          </w:tcPr>
          <w:p>
            <w:pPr>
              <w:spacing w:after="20" w:before="20"/>
            </w:pPr>
            <w:r>
              <w:rPr>
                <w:sz w:val="19"/>
                <w:szCs w:val="19"/>
              </w:rPr>
              <w:t xml:space="preserve">Top 12 device/OS combinations by user share</w:t>
            </w:r>
          </w:p>
        </w:tc>
        <w:tc>
          <w:tcPr>
            <w:tcW w:type="dxa" w:w="2263"/>
            <w:shd w:fill="F7F8FA" w:color="auto" w:val="clear"/>
            <w:tcMar>
              <w:top w:type="dxa" w:w="60"/>
              <w:left w:type="dxa" w:w="100"/>
              <w:bottom w:type="dxa" w:w="60"/>
              <w:right w:type="dxa" w:w="100"/>
            </w:tcMar>
          </w:tcPr>
          <w:p>
            <w:pPr>
              <w:spacing w:after="20" w:before="20"/>
            </w:pPr>
            <w:r>
              <w:rPr>
                <w:sz w:val="19"/>
                <w:szCs w:val="19"/>
              </w:rPr>
              <w:t xml:space="preserve">BrowserStack device matrix</w:t>
            </w:r>
          </w:p>
        </w:tc>
        <w:tc>
          <w:tcPr>
            <w:tcW w:type="dxa" w:w="1928"/>
            <w:shd w:fill="F7F8FA" w:color="auto" w:val="clear"/>
            <w:tcMar>
              <w:top w:type="dxa" w:w="60"/>
              <w:left w:type="dxa" w:w="100"/>
              <w:bottom w:type="dxa" w:w="60"/>
              <w:right w:type="dxa" w:w="100"/>
            </w:tcMar>
          </w:tcPr>
          <w:p>
            <w:pPr>
              <w:spacing w:after="20" w:before="20"/>
            </w:pPr>
            <w:r>
              <w:rPr>
                <w:sz w:val="19"/>
                <w:szCs w:val="19"/>
              </w:rPr>
              <w:t xml:space="preserve">Nightly</w:t>
            </w:r>
          </w:p>
        </w:tc>
        <w:tc>
          <w:tcPr>
            <w:tcW w:type="dxa" w:w="2469"/>
            <w:shd w:fill="F7F8FA" w:color="auto" w:val="clear"/>
            <w:tcMar>
              <w:top w:type="dxa" w:w="60"/>
              <w:left w:type="dxa" w:w="100"/>
              <w:bottom w:type="dxa" w:w="60"/>
              <w:right w:type="dxa" w:w="100"/>
            </w:tcMar>
          </w:tcPr>
          <w:p>
            <w:pPr>
              <w:spacing w:after="20" w:before="20"/>
            </w:pPr>
            <w:r>
              <w:rPr>
                <w:sz w:val="19"/>
                <w:szCs w:val="19"/>
              </w:rPr>
              <w:t xml:space="preserve">All critical journeys pass on all 12</w:t>
            </w:r>
          </w:p>
        </w:tc>
      </w:tr>
    </w:tbl>
    <w:p>
      <w:pPr>
        <w:spacing w:after="200"/>
      </w:pPr>
    </w:p>
    <w:p>
      <w:pPr>
        <w:pStyle w:val="Heading2"/>
        <w:keepNext/>
        <w:spacing w:after="140" w:before="320"/>
      </w:pPr>
      <w:r>
        <w:rPr>
          <w:b/>
          <w:bCs/>
          <w:color w:val="1F3864"/>
          <w:sz w:val="25"/>
          <w:szCs w:val="25"/>
        </w:rPr>
        <w:t xml:space="preserve">12. Roles and Responsibilities</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2863"/>
        <w:gridCol w:w="6883"/>
      </w:tblGrid>
      <w:tr>
        <w:trPr>
          <w:tblHeader/>
        </w:trPr>
        <w:tc>
          <w:tcPr>
            <w:tcW w:type="dxa" w:w="2863"/>
            <w:shd w:fill="E7EBF3" w:color="auto" w:val="clear"/>
            <w:tcMar>
              <w:top w:type="dxa" w:w="60"/>
              <w:left w:type="dxa" w:w="100"/>
              <w:bottom w:type="dxa" w:w="60"/>
              <w:right w:type="dxa" w:w="100"/>
            </w:tcMar>
          </w:tcPr>
          <w:p>
            <w:pPr>
              <w:spacing w:after="20" w:before="20"/>
            </w:pPr>
            <w:r>
              <w:rPr>
                <w:b/>
                <w:bCs/>
                <w:color w:val="1F3864"/>
                <w:sz w:val="19"/>
                <w:szCs w:val="19"/>
              </w:rPr>
              <w:t xml:space="preserve">Role</w:t>
            </w:r>
          </w:p>
        </w:tc>
        <w:tc>
          <w:tcPr>
            <w:tcW w:type="dxa" w:w="6883"/>
            <w:shd w:fill="E7EBF3" w:color="auto" w:val="clear"/>
            <w:tcMar>
              <w:top w:type="dxa" w:w="60"/>
              <w:left w:type="dxa" w:w="100"/>
              <w:bottom w:type="dxa" w:w="60"/>
              <w:right w:type="dxa" w:w="100"/>
            </w:tcMar>
          </w:tcPr>
          <w:p>
            <w:pPr>
              <w:spacing w:after="20" w:before="20"/>
            </w:pPr>
            <w:r>
              <w:rPr>
                <w:b/>
                <w:bCs/>
                <w:color w:val="1F3864"/>
                <w:sz w:val="19"/>
                <w:szCs w:val="19"/>
              </w:rPr>
              <w:t xml:space="preserve">Responsibilities</w:t>
            </w:r>
          </w:p>
        </w:tc>
      </w:tr>
      <w:tr>
        <w:tc>
          <w:tcPr>
            <w:tcW w:type="dxa" w:w="2863"/>
            <w:tcMar>
              <w:top w:type="dxa" w:w="60"/>
              <w:left w:type="dxa" w:w="100"/>
              <w:bottom w:type="dxa" w:w="60"/>
              <w:right w:type="dxa" w:w="100"/>
            </w:tcMar>
          </w:tcPr>
          <w:p>
            <w:pPr>
              <w:spacing w:after="20" w:before="20"/>
            </w:pPr>
            <w:r>
              <w:rPr>
                <w:sz w:val="19"/>
                <w:szCs w:val="19"/>
              </w:rPr>
              <w:t xml:space="preserve">QA Lead</w:t>
            </w:r>
          </w:p>
        </w:tc>
        <w:tc>
          <w:tcPr>
            <w:tcW w:type="dxa" w:w="6883"/>
            <w:tcMar>
              <w:top w:type="dxa" w:w="60"/>
              <w:left w:type="dxa" w:w="100"/>
              <w:bottom w:type="dxa" w:w="60"/>
              <w:right w:type="dxa" w:w="100"/>
            </w:tcMar>
          </w:tcPr>
          <w:p>
            <w:pPr>
              <w:spacing w:after="20" w:before="20"/>
            </w:pPr>
            <w:r>
              <w:rPr>
                <w:sz w:val="19"/>
                <w:szCs w:val="19"/>
              </w:rPr>
              <w:t xml:space="preserve">Owns this strategy, the quality dashboard, and the QA chapter; chairs the quarterly quality review; escalation point for release holds</w:t>
            </w:r>
          </w:p>
        </w:tc>
      </w:tr>
      <w:tr>
        <w:tc>
          <w:tcPr>
            <w:tcW w:type="dxa" w:w="2863"/>
            <w:shd w:fill="F7F8FA" w:color="auto" w:val="clear"/>
            <w:tcMar>
              <w:top w:type="dxa" w:w="60"/>
              <w:left w:type="dxa" w:w="100"/>
              <w:bottom w:type="dxa" w:w="60"/>
              <w:right w:type="dxa" w:w="100"/>
            </w:tcMar>
          </w:tcPr>
          <w:p>
            <w:pPr>
              <w:spacing w:after="20" w:before="20"/>
            </w:pPr>
            <w:r>
              <w:rPr>
                <w:sz w:val="19"/>
                <w:szCs w:val="19"/>
              </w:rPr>
              <w:t xml:space="preserve">Squad QA Engineer</w:t>
            </w:r>
          </w:p>
        </w:tc>
        <w:tc>
          <w:tcPr>
            <w:tcW w:type="dxa" w:w="6883"/>
            <w:shd w:fill="F7F8FA" w:color="auto" w:val="clear"/>
            <w:tcMar>
              <w:top w:type="dxa" w:w="60"/>
              <w:left w:type="dxa" w:w="100"/>
              <w:bottom w:type="dxa" w:w="60"/>
              <w:right w:type="dxa" w:w="100"/>
            </w:tcMar>
          </w:tcPr>
          <w:p>
            <w:pPr>
              <w:spacing w:after="20" w:before="20"/>
            </w:pPr>
            <w:r>
              <w:rPr>
                <w:sz w:val="19"/>
                <w:szCs w:val="19"/>
              </w:rPr>
              <w:t xml:space="preserve">Risk analysis at refinement, exploratory testing, E2E and API automation, coaching developers on test design</w:t>
            </w:r>
          </w:p>
        </w:tc>
      </w:tr>
      <w:tr>
        <w:tc>
          <w:tcPr>
            <w:tcW w:type="dxa" w:w="2863"/>
            <w:tcMar>
              <w:top w:type="dxa" w:w="60"/>
              <w:left w:type="dxa" w:w="100"/>
              <w:bottom w:type="dxa" w:w="60"/>
              <w:right w:type="dxa" w:w="100"/>
            </w:tcMar>
          </w:tcPr>
          <w:p>
            <w:pPr>
              <w:spacing w:after="20" w:before="20"/>
            </w:pPr>
            <w:r>
              <w:rPr>
                <w:sz w:val="19"/>
                <w:szCs w:val="19"/>
              </w:rPr>
              <w:t xml:space="preserve">Developer</w:t>
            </w:r>
          </w:p>
        </w:tc>
        <w:tc>
          <w:tcPr>
            <w:tcW w:type="dxa" w:w="6883"/>
            <w:tcMar>
              <w:top w:type="dxa" w:w="60"/>
              <w:left w:type="dxa" w:w="100"/>
              <w:bottom w:type="dxa" w:w="60"/>
              <w:right w:type="dxa" w:w="100"/>
            </w:tcMar>
          </w:tcPr>
          <w:p>
            <w:pPr>
              <w:spacing w:after="20" w:before="20"/>
            </w:pPr>
            <w:r>
              <w:rPr>
                <w:sz w:val="19"/>
                <w:szCs w:val="19"/>
              </w:rPr>
              <w:t xml:space="preserve">Unit, component, and contract tests; fixes their own flaky tests; participates in exploratory bug hunts</w:t>
            </w:r>
          </w:p>
        </w:tc>
      </w:tr>
      <w:tr>
        <w:tc>
          <w:tcPr>
            <w:tcW w:type="dxa" w:w="2863"/>
            <w:shd w:fill="F7F8FA" w:color="auto" w:val="clear"/>
            <w:tcMar>
              <w:top w:type="dxa" w:w="60"/>
              <w:left w:type="dxa" w:w="100"/>
              <w:bottom w:type="dxa" w:w="60"/>
              <w:right w:type="dxa" w:w="100"/>
            </w:tcMar>
          </w:tcPr>
          <w:p>
            <w:pPr>
              <w:spacing w:after="20" w:before="20"/>
            </w:pPr>
            <w:r>
              <w:rPr>
                <w:sz w:val="19"/>
                <w:szCs w:val="19"/>
              </w:rPr>
              <w:t xml:space="preserve">Product Owner</w:t>
            </w:r>
          </w:p>
        </w:tc>
        <w:tc>
          <w:tcPr>
            <w:tcW w:type="dxa" w:w="6883"/>
            <w:shd w:fill="F7F8FA" w:color="auto" w:val="clear"/>
            <w:tcMar>
              <w:top w:type="dxa" w:w="60"/>
              <w:left w:type="dxa" w:w="100"/>
              <w:bottom w:type="dxa" w:w="60"/>
              <w:right w:type="dxa" w:w="100"/>
            </w:tcMar>
          </w:tcPr>
          <w:p>
            <w:pPr>
              <w:spacing w:after="20" w:before="20"/>
            </w:pPr>
            <w:r>
              <w:rPr>
                <w:sz w:val="19"/>
                <w:szCs w:val="19"/>
              </w:rPr>
              <w:t xml:space="preserve">Acceptance criteria, defect priority, increment acceptance</w:t>
            </w:r>
          </w:p>
        </w:tc>
      </w:tr>
      <w:tr>
        <w:tc>
          <w:tcPr>
            <w:tcW w:type="dxa" w:w="2863"/>
            <w:tcMar>
              <w:top w:type="dxa" w:w="60"/>
              <w:left w:type="dxa" w:w="100"/>
              <w:bottom w:type="dxa" w:w="60"/>
              <w:right w:type="dxa" w:w="100"/>
            </w:tcMar>
          </w:tcPr>
          <w:p>
            <w:pPr>
              <w:spacing w:after="20" w:before="20"/>
            </w:pPr>
            <w:r>
              <w:rPr>
                <w:sz w:val="19"/>
                <w:szCs w:val="19"/>
              </w:rPr>
              <w:t xml:space="preserve">DevOps / SRE</w:t>
            </w:r>
          </w:p>
        </w:tc>
        <w:tc>
          <w:tcPr>
            <w:tcW w:type="dxa" w:w="6883"/>
            <w:tcMar>
              <w:top w:type="dxa" w:w="60"/>
              <w:left w:type="dxa" w:w="100"/>
              <w:bottom w:type="dxa" w:w="60"/>
              <w:right w:type="dxa" w:w="100"/>
            </w:tcMar>
          </w:tcPr>
          <w:p>
            <w:pPr>
              <w:spacing w:after="20" w:before="20"/>
            </w:pPr>
            <w:r>
              <w:rPr>
                <w:sz w:val="19"/>
                <w:szCs w:val="19"/>
              </w:rPr>
              <w:t xml:space="preserve">Pipeline, environment provisioning, production observability, release execution</w:t>
            </w:r>
          </w:p>
        </w:tc>
      </w:tr>
      <w:tr>
        <w:tc>
          <w:tcPr>
            <w:tcW w:type="dxa" w:w="2863"/>
            <w:shd w:fill="F7F8FA" w:color="auto" w:val="clear"/>
            <w:tcMar>
              <w:top w:type="dxa" w:w="60"/>
              <w:left w:type="dxa" w:w="100"/>
              <w:bottom w:type="dxa" w:w="60"/>
              <w:right w:type="dxa" w:w="100"/>
            </w:tcMar>
          </w:tcPr>
          <w:p>
            <w:pPr>
              <w:spacing w:after="20" w:before="20"/>
            </w:pPr>
            <w:r>
              <w:rPr>
                <w:sz w:val="19"/>
                <w:szCs w:val="19"/>
              </w:rPr>
              <w:t xml:space="preserve">Information Security</w:t>
            </w:r>
          </w:p>
        </w:tc>
        <w:tc>
          <w:tcPr>
            <w:tcW w:type="dxa" w:w="6883"/>
            <w:shd w:fill="F7F8FA" w:color="auto" w:val="clear"/>
            <w:tcMar>
              <w:top w:type="dxa" w:w="60"/>
              <w:left w:type="dxa" w:w="100"/>
              <w:bottom w:type="dxa" w:w="60"/>
              <w:right w:type="dxa" w:w="100"/>
            </w:tcMar>
          </w:tcPr>
          <w:p>
            <w:pPr>
              <w:spacing w:after="20" w:before="20"/>
            </w:pPr>
            <w:r>
              <w:rPr>
                <w:sz w:val="19"/>
                <w:szCs w:val="19"/>
              </w:rPr>
              <w:t xml:space="preserve">Scanning tooling, penetration test coordination, review of authentication changes</w:t>
            </w:r>
          </w:p>
        </w:tc>
      </w:tr>
      <w:tr>
        <w:tc>
          <w:tcPr>
            <w:tcW w:type="dxa" w:w="2863"/>
            <w:tcMar>
              <w:top w:type="dxa" w:w="60"/>
              <w:left w:type="dxa" w:w="100"/>
              <w:bottom w:type="dxa" w:w="60"/>
              <w:right w:type="dxa" w:w="100"/>
            </w:tcMar>
          </w:tcPr>
          <w:p>
            <w:pPr>
              <w:spacing w:after="20" w:before="20"/>
            </w:pPr>
            <w:r>
              <w:rPr>
                <w:sz w:val="19"/>
                <w:szCs w:val="19"/>
              </w:rPr>
              <w:t xml:space="preserve">Operations representative</w:t>
            </w:r>
          </w:p>
        </w:tc>
        <w:tc>
          <w:tcPr>
            <w:tcW w:type="dxa" w:w="6883"/>
            <w:tcMar>
              <w:top w:type="dxa" w:w="60"/>
              <w:left w:type="dxa" w:w="100"/>
              <w:bottom w:type="dxa" w:w="60"/>
              <w:right w:type="dxa" w:w="100"/>
            </w:tcMar>
          </w:tcPr>
          <w:p>
            <w:pPr>
              <w:spacing w:after="20" w:before="20"/>
            </w:pPr>
            <w:r>
              <w:rPr>
                <w:sz w:val="19"/>
                <w:szCs w:val="19"/>
              </w:rPr>
              <w:t xml:space="preserve">UAT participation from a servicing and dispute-handling perspective</w:t>
            </w:r>
          </w:p>
        </w:tc>
      </w:tr>
    </w:tbl>
    <w:p>
      <w:pPr>
        <w:spacing w:after="200"/>
      </w:pPr>
    </w:p>
    <w:p>
      <w:pPr>
        <w:pStyle w:val="Heading2"/>
        <w:keepNext/>
        <w:spacing w:after="140" w:before="320"/>
      </w:pPr>
      <w:r>
        <w:rPr>
          <w:b/>
          <w:bCs/>
          <w:color w:val="1F3864"/>
          <w:sz w:val="25"/>
          <w:szCs w:val="25"/>
        </w:rPr>
        <w:t xml:space="preserve">13. Metrics and Reporting</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3832"/>
        <w:gridCol w:w="2018"/>
        <w:gridCol w:w="1996"/>
        <w:gridCol w:w="1900"/>
      </w:tblGrid>
      <w:tr>
        <w:trPr>
          <w:tblHeader/>
        </w:trPr>
        <w:tc>
          <w:tcPr>
            <w:tcW w:type="dxa" w:w="3832"/>
            <w:shd w:fill="E7EBF3" w:color="auto" w:val="clear"/>
            <w:tcMar>
              <w:top w:type="dxa" w:w="60"/>
              <w:left w:type="dxa" w:w="100"/>
              <w:bottom w:type="dxa" w:w="60"/>
              <w:right w:type="dxa" w:w="100"/>
            </w:tcMar>
          </w:tcPr>
          <w:p>
            <w:pPr>
              <w:spacing w:after="20" w:before="20"/>
            </w:pPr>
            <w:r>
              <w:rPr>
                <w:b/>
                <w:bCs/>
                <w:color w:val="1F3864"/>
                <w:sz w:val="19"/>
                <w:szCs w:val="19"/>
              </w:rPr>
              <w:t xml:space="preserve">Metric</w:t>
            </w:r>
          </w:p>
        </w:tc>
        <w:tc>
          <w:tcPr>
            <w:tcW w:type="dxa" w:w="2018"/>
            <w:shd w:fill="E7EBF3" w:color="auto" w:val="clear"/>
            <w:tcMar>
              <w:top w:type="dxa" w:w="60"/>
              <w:left w:type="dxa" w:w="100"/>
              <w:bottom w:type="dxa" w:w="60"/>
              <w:right w:type="dxa" w:w="100"/>
            </w:tcMar>
          </w:tcPr>
          <w:p>
            <w:pPr>
              <w:spacing w:after="20" w:before="20"/>
            </w:pPr>
            <w:r>
              <w:rPr>
                <w:b/>
                <w:bCs/>
                <w:color w:val="1F3864"/>
                <w:sz w:val="19"/>
                <w:szCs w:val="19"/>
              </w:rPr>
              <w:t xml:space="preserve">Source</w:t>
            </w:r>
          </w:p>
        </w:tc>
        <w:tc>
          <w:tcPr>
            <w:tcW w:type="dxa" w:w="1996"/>
            <w:shd w:fill="E7EBF3" w:color="auto" w:val="clear"/>
            <w:tcMar>
              <w:top w:type="dxa" w:w="60"/>
              <w:left w:type="dxa" w:w="100"/>
              <w:bottom w:type="dxa" w:w="60"/>
              <w:right w:type="dxa" w:w="100"/>
            </w:tcMar>
          </w:tcPr>
          <w:p>
            <w:pPr>
              <w:spacing w:after="20" w:before="20"/>
            </w:pPr>
            <w:r>
              <w:rPr>
                <w:b/>
                <w:bCs/>
                <w:color w:val="1F3864"/>
                <w:sz w:val="19"/>
                <w:szCs w:val="19"/>
              </w:rPr>
              <w:t xml:space="preserve">Cadence</w:t>
            </w:r>
          </w:p>
        </w:tc>
        <w:tc>
          <w:tcPr>
            <w:tcW w:type="dxa" w:w="1900"/>
            <w:shd w:fill="E7EBF3" w:color="auto" w:val="clear"/>
            <w:tcMar>
              <w:top w:type="dxa" w:w="60"/>
              <w:left w:type="dxa" w:w="100"/>
              <w:bottom w:type="dxa" w:w="60"/>
              <w:right w:type="dxa" w:w="100"/>
            </w:tcMar>
          </w:tcPr>
          <w:p>
            <w:pPr>
              <w:spacing w:after="20" w:before="20"/>
            </w:pPr>
            <w:r>
              <w:rPr>
                <w:b/>
                <w:bCs/>
                <w:color w:val="1F3864"/>
                <w:sz w:val="19"/>
                <w:szCs w:val="19"/>
              </w:rPr>
              <w:t xml:space="preserve">Audience</w:t>
            </w:r>
          </w:p>
        </w:tc>
      </w:tr>
      <w:tr>
        <w:tc>
          <w:tcPr>
            <w:tcW w:type="dxa" w:w="3832"/>
            <w:tcMar>
              <w:top w:type="dxa" w:w="60"/>
              <w:left w:type="dxa" w:w="100"/>
              <w:bottom w:type="dxa" w:w="60"/>
              <w:right w:type="dxa" w:w="100"/>
            </w:tcMar>
          </w:tcPr>
          <w:p>
            <w:pPr>
              <w:spacing w:after="20" w:before="20"/>
            </w:pPr>
            <w:r>
              <w:rPr>
                <w:sz w:val="19"/>
                <w:szCs w:val="19"/>
              </w:rPr>
              <w:t xml:space="preserve">Escaped defects (S1/S2 found in production)</w:t>
            </w:r>
          </w:p>
        </w:tc>
        <w:tc>
          <w:tcPr>
            <w:tcW w:type="dxa" w:w="2018"/>
            <w:tcMar>
              <w:top w:type="dxa" w:w="60"/>
              <w:left w:type="dxa" w:w="100"/>
              <w:bottom w:type="dxa" w:w="60"/>
              <w:right w:type="dxa" w:w="100"/>
            </w:tcMar>
          </w:tcPr>
          <w:p>
            <w:pPr>
              <w:spacing w:after="20" w:before="20"/>
            </w:pPr>
            <w:r>
              <w:rPr>
                <w:sz w:val="19"/>
                <w:szCs w:val="19"/>
              </w:rPr>
              <w:t xml:space="preserve">Jira</w:t>
            </w:r>
          </w:p>
        </w:tc>
        <w:tc>
          <w:tcPr>
            <w:tcW w:type="dxa" w:w="1996"/>
            <w:tcMar>
              <w:top w:type="dxa" w:w="60"/>
              <w:left w:type="dxa" w:w="100"/>
              <w:bottom w:type="dxa" w:w="60"/>
              <w:right w:type="dxa" w:w="100"/>
            </w:tcMar>
          </w:tcPr>
          <w:p>
            <w:pPr>
              <w:spacing w:after="20" w:before="20"/>
            </w:pPr>
            <w:r>
              <w:rPr>
                <w:sz w:val="19"/>
                <w:szCs w:val="19"/>
              </w:rPr>
              <w:t xml:space="preserve">Per release</w:t>
            </w:r>
          </w:p>
        </w:tc>
        <w:tc>
          <w:tcPr>
            <w:tcW w:type="dxa" w:w="1900"/>
            <w:tcMar>
              <w:top w:type="dxa" w:w="60"/>
              <w:left w:type="dxa" w:w="100"/>
              <w:bottom w:type="dxa" w:w="60"/>
              <w:right w:type="dxa" w:w="100"/>
            </w:tcMar>
          </w:tcPr>
          <w:p>
            <w:pPr>
              <w:spacing w:after="20" w:before="20"/>
            </w:pPr>
            <w:r>
              <w:rPr>
                <w:sz w:val="19"/>
                <w:szCs w:val="19"/>
              </w:rPr>
              <w:t xml:space="preserve">Leadership</w:t>
            </w:r>
          </w:p>
        </w:tc>
      </w:tr>
      <w:tr>
        <w:tc>
          <w:tcPr>
            <w:tcW w:type="dxa" w:w="3832"/>
            <w:shd w:fill="F7F8FA" w:color="auto" w:val="clear"/>
            <w:tcMar>
              <w:top w:type="dxa" w:w="60"/>
              <w:left w:type="dxa" w:w="100"/>
              <w:bottom w:type="dxa" w:w="60"/>
              <w:right w:type="dxa" w:w="100"/>
            </w:tcMar>
          </w:tcPr>
          <w:p>
            <w:pPr>
              <w:spacing w:after="20" w:before="20"/>
            </w:pPr>
            <w:r>
              <w:rPr>
                <w:sz w:val="19"/>
                <w:szCs w:val="19"/>
              </w:rPr>
              <w:t xml:space="preserve">Pre-production detection rate</w:t>
            </w:r>
          </w:p>
        </w:tc>
        <w:tc>
          <w:tcPr>
            <w:tcW w:type="dxa" w:w="2018"/>
            <w:shd w:fill="F7F8FA" w:color="auto" w:val="clear"/>
            <w:tcMar>
              <w:top w:type="dxa" w:w="60"/>
              <w:left w:type="dxa" w:w="100"/>
              <w:bottom w:type="dxa" w:w="60"/>
              <w:right w:type="dxa" w:w="100"/>
            </w:tcMar>
          </w:tcPr>
          <w:p>
            <w:pPr>
              <w:spacing w:after="20" w:before="20"/>
            </w:pPr>
            <w:r>
              <w:rPr>
                <w:sz w:val="19"/>
                <w:szCs w:val="19"/>
              </w:rPr>
              <w:t xml:space="preserve">Jira</w:t>
            </w:r>
          </w:p>
        </w:tc>
        <w:tc>
          <w:tcPr>
            <w:tcW w:type="dxa" w:w="1996"/>
            <w:shd w:fill="F7F8FA" w:color="auto" w:val="clear"/>
            <w:tcMar>
              <w:top w:type="dxa" w:w="60"/>
              <w:left w:type="dxa" w:w="100"/>
              <w:bottom w:type="dxa" w:w="60"/>
              <w:right w:type="dxa" w:w="100"/>
            </w:tcMar>
          </w:tcPr>
          <w:p>
            <w:pPr>
              <w:spacing w:after="20" w:before="20"/>
            </w:pPr>
            <w:r>
              <w:rPr>
                <w:sz w:val="19"/>
                <w:szCs w:val="19"/>
              </w:rPr>
              <w:t xml:space="preserve">Monthly</w:t>
            </w:r>
          </w:p>
        </w:tc>
        <w:tc>
          <w:tcPr>
            <w:tcW w:type="dxa" w:w="1900"/>
            <w:shd w:fill="F7F8FA" w:color="auto" w:val="clear"/>
            <w:tcMar>
              <w:top w:type="dxa" w:w="60"/>
              <w:left w:type="dxa" w:w="100"/>
              <w:bottom w:type="dxa" w:w="60"/>
              <w:right w:type="dxa" w:w="100"/>
            </w:tcMar>
          </w:tcPr>
          <w:p>
            <w:pPr>
              <w:spacing w:after="20" w:before="20"/>
            </w:pPr>
            <w:r>
              <w:rPr>
                <w:sz w:val="19"/>
                <w:szCs w:val="19"/>
              </w:rPr>
              <w:t xml:space="preserve">Leadership</w:t>
            </w:r>
          </w:p>
        </w:tc>
      </w:tr>
      <w:tr>
        <w:tc>
          <w:tcPr>
            <w:tcW w:type="dxa" w:w="3832"/>
            <w:tcMar>
              <w:top w:type="dxa" w:w="60"/>
              <w:left w:type="dxa" w:w="100"/>
              <w:bottom w:type="dxa" w:w="60"/>
              <w:right w:type="dxa" w:w="100"/>
            </w:tcMar>
          </w:tcPr>
          <w:p>
            <w:pPr>
              <w:spacing w:after="20" w:before="20"/>
            </w:pPr>
            <w:r>
              <w:rPr>
                <w:sz w:val="19"/>
                <w:szCs w:val="19"/>
              </w:rPr>
              <w:t xml:space="preserve">PR pipeline duration, p95</w:t>
            </w:r>
          </w:p>
        </w:tc>
        <w:tc>
          <w:tcPr>
            <w:tcW w:type="dxa" w:w="2018"/>
            <w:tcMar>
              <w:top w:type="dxa" w:w="60"/>
              <w:left w:type="dxa" w:w="100"/>
              <w:bottom w:type="dxa" w:w="60"/>
              <w:right w:type="dxa" w:w="100"/>
            </w:tcMar>
          </w:tcPr>
          <w:p>
            <w:pPr>
              <w:spacing w:after="20" w:before="20"/>
            </w:pPr>
            <w:r>
              <w:rPr>
                <w:sz w:val="19"/>
                <w:szCs w:val="19"/>
              </w:rPr>
              <w:t xml:space="preserve">CI</w:t>
            </w:r>
          </w:p>
        </w:tc>
        <w:tc>
          <w:tcPr>
            <w:tcW w:type="dxa" w:w="1996"/>
            <w:tcMar>
              <w:top w:type="dxa" w:w="60"/>
              <w:left w:type="dxa" w:w="100"/>
              <w:bottom w:type="dxa" w:w="60"/>
              <w:right w:type="dxa" w:w="100"/>
            </w:tcMar>
          </w:tcPr>
          <w:p>
            <w:pPr>
              <w:spacing w:after="20" w:before="20"/>
            </w:pPr>
            <w:r>
              <w:rPr>
                <w:sz w:val="19"/>
                <w:szCs w:val="19"/>
              </w:rPr>
              <w:t xml:space="preserve">Continuous</w:t>
            </w:r>
          </w:p>
        </w:tc>
        <w:tc>
          <w:tcPr>
            <w:tcW w:type="dxa" w:w="1900"/>
            <w:tcMar>
              <w:top w:type="dxa" w:w="60"/>
              <w:left w:type="dxa" w:w="100"/>
              <w:bottom w:type="dxa" w:w="60"/>
              <w:right w:type="dxa" w:w="100"/>
            </w:tcMar>
          </w:tcPr>
          <w:p>
            <w:pPr>
              <w:spacing w:after="20" w:before="20"/>
            </w:pPr>
            <w:r>
              <w:rPr>
                <w:sz w:val="19"/>
                <w:szCs w:val="19"/>
              </w:rPr>
              <w:t xml:space="preserve">Squads</w:t>
            </w:r>
          </w:p>
        </w:tc>
      </w:tr>
      <w:tr>
        <w:tc>
          <w:tcPr>
            <w:tcW w:type="dxa" w:w="3832"/>
            <w:shd w:fill="F7F8FA" w:color="auto" w:val="clear"/>
            <w:tcMar>
              <w:top w:type="dxa" w:w="60"/>
              <w:left w:type="dxa" w:w="100"/>
              <w:bottom w:type="dxa" w:w="60"/>
              <w:right w:type="dxa" w:w="100"/>
            </w:tcMar>
          </w:tcPr>
          <w:p>
            <w:pPr>
              <w:spacing w:after="20" w:before="20"/>
            </w:pPr>
            <w:r>
              <w:rPr>
                <w:sz w:val="19"/>
                <w:szCs w:val="19"/>
              </w:rPr>
              <w:t xml:space="preserve">Automated coverage of the eight critical journeys</w:t>
            </w:r>
          </w:p>
        </w:tc>
        <w:tc>
          <w:tcPr>
            <w:tcW w:type="dxa" w:w="2018"/>
            <w:shd w:fill="F7F8FA" w:color="auto" w:val="clear"/>
            <w:tcMar>
              <w:top w:type="dxa" w:w="60"/>
              <w:left w:type="dxa" w:w="100"/>
              <w:bottom w:type="dxa" w:w="60"/>
              <w:right w:type="dxa" w:w="100"/>
            </w:tcMar>
          </w:tcPr>
          <w:p>
            <w:pPr>
              <w:spacing w:after="20" w:before="20"/>
            </w:pPr>
            <w:r>
              <w:rPr>
                <w:sz w:val="19"/>
                <w:szCs w:val="19"/>
              </w:rPr>
              <w:t xml:space="preserve">Allure</w:t>
            </w:r>
          </w:p>
        </w:tc>
        <w:tc>
          <w:tcPr>
            <w:tcW w:type="dxa" w:w="1996"/>
            <w:shd w:fill="F7F8FA" w:color="auto" w:val="clear"/>
            <w:tcMar>
              <w:top w:type="dxa" w:w="60"/>
              <w:left w:type="dxa" w:w="100"/>
              <w:bottom w:type="dxa" w:w="60"/>
              <w:right w:type="dxa" w:w="100"/>
            </w:tcMar>
          </w:tcPr>
          <w:p>
            <w:pPr>
              <w:spacing w:after="20" w:before="20"/>
            </w:pPr>
            <w:r>
              <w:rPr>
                <w:sz w:val="19"/>
                <w:szCs w:val="19"/>
              </w:rPr>
              <w:t xml:space="preserve">Per release</w:t>
            </w:r>
          </w:p>
        </w:tc>
        <w:tc>
          <w:tcPr>
            <w:tcW w:type="dxa" w:w="1900"/>
            <w:shd w:fill="F7F8FA" w:color="auto" w:val="clear"/>
            <w:tcMar>
              <w:top w:type="dxa" w:w="60"/>
              <w:left w:type="dxa" w:w="100"/>
              <w:bottom w:type="dxa" w:w="60"/>
              <w:right w:type="dxa" w:w="100"/>
            </w:tcMar>
          </w:tcPr>
          <w:p>
            <w:pPr>
              <w:spacing w:after="20" w:before="20"/>
            </w:pPr>
            <w:r>
              <w:rPr>
                <w:sz w:val="19"/>
                <w:szCs w:val="19"/>
              </w:rPr>
              <w:t xml:space="preserve">QA chapter</w:t>
            </w:r>
          </w:p>
        </w:tc>
      </w:tr>
      <w:tr>
        <w:tc>
          <w:tcPr>
            <w:tcW w:type="dxa" w:w="3832"/>
            <w:tcMar>
              <w:top w:type="dxa" w:w="60"/>
              <w:left w:type="dxa" w:w="100"/>
              <w:bottom w:type="dxa" w:w="60"/>
              <w:right w:type="dxa" w:w="100"/>
            </w:tcMar>
          </w:tcPr>
          <w:p>
            <w:pPr>
              <w:spacing w:after="20" w:before="20"/>
            </w:pPr>
            <w:r>
              <w:rPr>
                <w:sz w:val="19"/>
                <w:szCs w:val="19"/>
              </w:rPr>
              <w:t xml:space="preserve">Flaky/quarantined test count</w:t>
            </w:r>
          </w:p>
        </w:tc>
        <w:tc>
          <w:tcPr>
            <w:tcW w:type="dxa" w:w="2018"/>
            <w:tcMar>
              <w:top w:type="dxa" w:w="60"/>
              <w:left w:type="dxa" w:w="100"/>
              <w:bottom w:type="dxa" w:w="60"/>
              <w:right w:type="dxa" w:w="100"/>
            </w:tcMar>
          </w:tcPr>
          <w:p>
            <w:pPr>
              <w:spacing w:after="20" w:before="20"/>
            </w:pPr>
            <w:r>
              <w:rPr>
                <w:sz w:val="19"/>
                <w:szCs w:val="19"/>
              </w:rPr>
              <w:t xml:space="preserve">CI</w:t>
            </w:r>
          </w:p>
        </w:tc>
        <w:tc>
          <w:tcPr>
            <w:tcW w:type="dxa" w:w="1996"/>
            <w:tcMar>
              <w:top w:type="dxa" w:w="60"/>
              <w:left w:type="dxa" w:w="100"/>
              <w:bottom w:type="dxa" w:w="60"/>
              <w:right w:type="dxa" w:w="100"/>
            </w:tcMar>
          </w:tcPr>
          <w:p>
            <w:pPr>
              <w:spacing w:after="20" w:before="20"/>
            </w:pPr>
            <w:r>
              <w:rPr>
                <w:sz w:val="19"/>
                <w:szCs w:val="19"/>
              </w:rPr>
              <w:t xml:space="preserve">Continuous</w:t>
            </w:r>
          </w:p>
        </w:tc>
        <w:tc>
          <w:tcPr>
            <w:tcW w:type="dxa" w:w="1900"/>
            <w:tcMar>
              <w:top w:type="dxa" w:w="60"/>
              <w:left w:type="dxa" w:w="100"/>
              <w:bottom w:type="dxa" w:w="60"/>
              <w:right w:type="dxa" w:w="100"/>
            </w:tcMar>
          </w:tcPr>
          <w:p>
            <w:pPr>
              <w:spacing w:after="20" w:before="20"/>
            </w:pPr>
            <w:r>
              <w:rPr>
                <w:sz w:val="19"/>
                <w:szCs w:val="19"/>
              </w:rPr>
              <w:t xml:space="preserve">Squads</w:t>
            </w:r>
          </w:p>
        </w:tc>
      </w:tr>
      <w:tr>
        <w:tc>
          <w:tcPr>
            <w:tcW w:type="dxa" w:w="3832"/>
            <w:shd w:fill="F7F8FA" w:color="auto" w:val="clear"/>
            <w:tcMar>
              <w:top w:type="dxa" w:w="60"/>
              <w:left w:type="dxa" w:w="100"/>
              <w:bottom w:type="dxa" w:w="60"/>
              <w:right w:type="dxa" w:w="100"/>
            </w:tcMar>
          </w:tcPr>
          <w:p>
            <w:pPr>
              <w:spacing w:after="20" w:before="20"/>
            </w:pPr>
            <w:r>
              <w:rPr>
                <w:sz w:val="19"/>
                <w:szCs w:val="19"/>
              </w:rPr>
              <w:t xml:space="preserve">Mean time to detect / to repair (production)</w:t>
            </w:r>
          </w:p>
        </w:tc>
        <w:tc>
          <w:tcPr>
            <w:tcW w:type="dxa" w:w="2018"/>
            <w:shd w:fill="F7F8FA" w:color="auto" w:val="clear"/>
            <w:tcMar>
              <w:top w:type="dxa" w:w="60"/>
              <w:left w:type="dxa" w:w="100"/>
              <w:bottom w:type="dxa" w:w="60"/>
              <w:right w:type="dxa" w:w="100"/>
            </w:tcMar>
          </w:tcPr>
          <w:p>
            <w:pPr>
              <w:spacing w:after="20" w:before="20"/>
            </w:pPr>
            <w:r>
              <w:rPr>
                <w:sz w:val="19"/>
                <w:szCs w:val="19"/>
              </w:rPr>
              <w:t xml:space="preserve">Incident tooling</w:t>
            </w:r>
          </w:p>
        </w:tc>
        <w:tc>
          <w:tcPr>
            <w:tcW w:type="dxa" w:w="1996"/>
            <w:shd w:fill="F7F8FA" w:color="auto" w:val="clear"/>
            <w:tcMar>
              <w:top w:type="dxa" w:w="60"/>
              <w:left w:type="dxa" w:w="100"/>
              <w:bottom w:type="dxa" w:w="60"/>
              <w:right w:type="dxa" w:w="100"/>
            </w:tcMar>
          </w:tcPr>
          <w:p>
            <w:pPr>
              <w:spacing w:after="20" w:before="20"/>
            </w:pPr>
            <w:r>
              <w:rPr>
                <w:sz w:val="19"/>
                <w:szCs w:val="19"/>
              </w:rPr>
              <w:t xml:space="preserve">Monthly</w:t>
            </w:r>
          </w:p>
        </w:tc>
        <w:tc>
          <w:tcPr>
            <w:tcW w:type="dxa" w:w="1900"/>
            <w:shd w:fill="F7F8FA" w:color="auto" w:val="clear"/>
            <w:tcMar>
              <w:top w:type="dxa" w:w="60"/>
              <w:left w:type="dxa" w:w="100"/>
              <w:bottom w:type="dxa" w:w="60"/>
              <w:right w:type="dxa" w:w="100"/>
            </w:tcMar>
          </w:tcPr>
          <w:p>
            <w:pPr>
              <w:spacing w:after="20" w:before="20"/>
            </w:pPr>
            <w:r>
              <w:rPr>
                <w:sz w:val="19"/>
                <w:szCs w:val="19"/>
              </w:rPr>
              <w:t xml:space="preserve">Leadership</w:t>
            </w:r>
          </w:p>
        </w:tc>
      </w:tr>
      <w:tr>
        <w:tc>
          <w:tcPr>
            <w:tcW w:type="dxa" w:w="3832"/>
            <w:tcMar>
              <w:top w:type="dxa" w:w="60"/>
              <w:left w:type="dxa" w:w="100"/>
              <w:bottom w:type="dxa" w:w="60"/>
              <w:right w:type="dxa" w:w="100"/>
            </w:tcMar>
          </w:tcPr>
          <w:p>
            <w:pPr>
              <w:spacing w:after="20" w:before="20"/>
            </w:pPr>
            <w:r>
              <w:rPr>
                <w:sz w:val="19"/>
                <w:szCs w:val="19"/>
              </w:rPr>
              <w:t xml:space="preserve">Manual regression effort</w:t>
            </w:r>
          </w:p>
        </w:tc>
        <w:tc>
          <w:tcPr>
            <w:tcW w:type="dxa" w:w="2018"/>
            <w:tcMar>
              <w:top w:type="dxa" w:w="60"/>
              <w:left w:type="dxa" w:w="100"/>
              <w:bottom w:type="dxa" w:w="60"/>
              <w:right w:type="dxa" w:w="100"/>
            </w:tcMar>
          </w:tcPr>
          <w:p>
            <w:pPr>
              <w:spacing w:after="20" w:before="20"/>
            </w:pPr>
            <w:r>
              <w:rPr>
                <w:sz w:val="19"/>
                <w:szCs w:val="19"/>
              </w:rPr>
              <w:t xml:space="preserve">Timesheet estimate</w:t>
            </w:r>
          </w:p>
        </w:tc>
        <w:tc>
          <w:tcPr>
            <w:tcW w:type="dxa" w:w="1996"/>
            <w:tcMar>
              <w:top w:type="dxa" w:w="60"/>
              <w:left w:type="dxa" w:w="100"/>
              <w:bottom w:type="dxa" w:w="60"/>
              <w:right w:type="dxa" w:w="100"/>
            </w:tcMar>
          </w:tcPr>
          <w:p>
            <w:pPr>
              <w:spacing w:after="20" w:before="20"/>
            </w:pPr>
            <w:r>
              <w:rPr>
                <w:sz w:val="19"/>
                <w:szCs w:val="19"/>
              </w:rPr>
              <w:t xml:space="preserve">Per release</w:t>
            </w:r>
          </w:p>
        </w:tc>
        <w:tc>
          <w:tcPr>
            <w:tcW w:type="dxa" w:w="1900"/>
            <w:tcMar>
              <w:top w:type="dxa" w:w="60"/>
              <w:left w:type="dxa" w:w="100"/>
              <w:bottom w:type="dxa" w:w="60"/>
              <w:right w:type="dxa" w:w="100"/>
            </w:tcMar>
          </w:tcPr>
          <w:p>
            <w:pPr>
              <w:spacing w:after="20" w:before="20"/>
            </w:pPr>
            <w:r>
              <w:rPr>
                <w:sz w:val="19"/>
                <w:szCs w:val="19"/>
              </w:rPr>
              <w:t xml:space="preserve">QA Lead</w:t>
            </w:r>
          </w:p>
        </w:tc>
      </w:tr>
    </w:tbl>
    <w:p>
      <w:pPr>
        <w:spacing w:after="200"/>
      </w:pPr>
    </w:p>
    <w:p>
      <w:pPr>
        <w:spacing w:after="120" w:before="60" w:line="280"/>
      </w:pPr>
      <w:r>
        <w:rPr>
          <w:sz w:val="21"/>
          <w:szCs w:val="21"/>
        </w:rPr>
        <w:t xml:space="preserve">Reporting is a live dashboard, not a document. A one-page release report is generated automatically at each release. Metrics are used to find system problems; they are explicitly not used to evaluate individuals, and defect counts per developer are not tracked.</w:t>
      </w:r>
    </w:p>
    <w:p>
      <w:pPr>
        <w:pStyle w:val="Heading2"/>
        <w:keepNext/>
        <w:spacing w:after="140" w:before="320"/>
      </w:pPr>
      <w:r>
        <w:rPr>
          <w:b/>
          <w:bCs/>
          <w:color w:val="1F3864"/>
          <w:sz w:val="25"/>
          <w:szCs w:val="25"/>
        </w:rPr>
        <w:t xml:space="preserve">14. Risks, Assumptions, Dependencies</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1507"/>
        <w:gridCol w:w="3968"/>
        <w:gridCol w:w="4271"/>
      </w:tblGrid>
      <w:tr>
        <w:trPr>
          <w:tblHeader/>
        </w:trPr>
        <w:tc>
          <w:tcPr>
            <w:tcW w:type="dxa" w:w="1507"/>
            <w:shd w:fill="E7EBF3" w:color="auto" w:val="clear"/>
            <w:tcMar>
              <w:top w:type="dxa" w:w="60"/>
              <w:left w:type="dxa" w:w="100"/>
              <w:bottom w:type="dxa" w:w="60"/>
              <w:right w:type="dxa" w:w="100"/>
            </w:tcMar>
          </w:tcPr>
          <w:p>
            <w:pPr>
              <w:spacing w:after="20" w:before="20"/>
            </w:pPr>
            <w:r>
              <w:rPr>
                <w:b/>
                <w:bCs/>
                <w:color w:val="1F3864"/>
                <w:sz w:val="19"/>
                <w:szCs w:val="19"/>
              </w:rPr>
              <w:t xml:space="preserve">Type</w:t>
            </w:r>
          </w:p>
        </w:tc>
        <w:tc>
          <w:tcPr>
            <w:tcW w:type="dxa" w:w="3968"/>
            <w:shd w:fill="E7EBF3" w:color="auto" w:val="clear"/>
            <w:tcMar>
              <w:top w:type="dxa" w:w="60"/>
              <w:left w:type="dxa" w:w="100"/>
              <w:bottom w:type="dxa" w:w="60"/>
              <w:right w:type="dxa" w:w="100"/>
            </w:tcMar>
          </w:tcPr>
          <w:p>
            <w:pPr>
              <w:spacing w:after="20" w:before="20"/>
            </w:pPr>
            <w:r>
              <w:rPr>
                <w:b/>
                <w:bCs/>
                <w:color w:val="1F3864"/>
                <w:sz w:val="19"/>
                <w:szCs w:val="19"/>
              </w:rPr>
              <w:t xml:space="preserve">Item</w:t>
            </w:r>
          </w:p>
        </w:tc>
        <w:tc>
          <w:tcPr>
            <w:tcW w:type="dxa" w:w="4271"/>
            <w:shd w:fill="E7EBF3" w:color="auto" w:val="clear"/>
            <w:tcMar>
              <w:top w:type="dxa" w:w="60"/>
              <w:left w:type="dxa" w:w="100"/>
              <w:bottom w:type="dxa" w:w="60"/>
              <w:right w:type="dxa" w:w="100"/>
            </w:tcMar>
          </w:tcPr>
          <w:p>
            <w:pPr>
              <w:spacing w:after="20" w:before="20"/>
            </w:pPr>
            <w:r>
              <w:rPr>
                <w:b/>
                <w:bCs/>
                <w:color w:val="1F3864"/>
                <w:sz w:val="19"/>
                <w:szCs w:val="19"/>
              </w:rPr>
              <w:t xml:space="preserve">Response</w:t>
            </w:r>
          </w:p>
        </w:tc>
      </w:tr>
      <w:tr>
        <w:tc>
          <w:tcPr>
            <w:tcW w:type="dxa" w:w="1507"/>
            <w:tcMar>
              <w:top w:type="dxa" w:w="60"/>
              <w:left w:type="dxa" w:w="100"/>
              <w:bottom w:type="dxa" w:w="60"/>
              <w:right w:type="dxa" w:w="100"/>
            </w:tcMar>
          </w:tcPr>
          <w:p>
            <w:pPr>
              <w:spacing w:after="20" w:before="20"/>
            </w:pPr>
            <w:r>
              <w:rPr>
                <w:sz w:val="19"/>
                <w:szCs w:val="19"/>
              </w:rPr>
              <w:t xml:space="preserve">Risk</w:t>
            </w:r>
          </w:p>
        </w:tc>
        <w:tc>
          <w:tcPr>
            <w:tcW w:type="dxa" w:w="3968"/>
            <w:tcMar>
              <w:top w:type="dxa" w:w="60"/>
              <w:left w:type="dxa" w:w="100"/>
              <w:bottom w:type="dxa" w:w="60"/>
              <w:right w:type="dxa" w:w="100"/>
            </w:tcMar>
          </w:tcPr>
          <w:p>
            <w:pPr>
              <w:spacing w:after="20" w:before="20"/>
            </w:pPr>
            <w:r>
              <w:rPr>
                <w:sz w:val="19"/>
                <w:szCs w:val="19"/>
              </w:rPr>
              <w:t xml:space="preserve">Single QA engineer per squad creates a knowledge bottleneck and holiday fragility</w:t>
            </w:r>
          </w:p>
        </w:tc>
        <w:tc>
          <w:tcPr>
            <w:tcW w:type="dxa" w:w="4271"/>
            <w:tcMar>
              <w:top w:type="dxa" w:w="60"/>
              <w:left w:type="dxa" w:w="100"/>
              <w:bottom w:type="dxa" w:w="60"/>
              <w:right w:type="dxa" w:w="100"/>
            </w:tcMar>
          </w:tcPr>
          <w:p>
            <w:pPr>
              <w:spacing w:after="20" w:before="20"/>
            </w:pPr>
            <w:r>
              <w:rPr>
                <w:sz w:val="19"/>
                <w:szCs w:val="19"/>
              </w:rPr>
              <w:t xml:space="preserve">Cross-squad QA pairing every sprint; developers own an increasing share of automation</w:t>
            </w:r>
          </w:p>
        </w:tc>
      </w:tr>
      <w:tr>
        <w:tc>
          <w:tcPr>
            <w:tcW w:type="dxa" w:w="1507"/>
            <w:shd w:fill="F7F8FA" w:color="auto" w:val="clear"/>
            <w:tcMar>
              <w:top w:type="dxa" w:w="60"/>
              <w:left w:type="dxa" w:w="100"/>
              <w:bottom w:type="dxa" w:w="60"/>
              <w:right w:type="dxa" w:w="100"/>
            </w:tcMar>
          </w:tcPr>
          <w:p>
            <w:pPr>
              <w:spacing w:after="20" w:before="20"/>
            </w:pPr>
            <w:r>
              <w:rPr>
                <w:sz w:val="19"/>
                <w:szCs w:val="19"/>
              </w:rPr>
              <w:t xml:space="preserve">Risk</w:t>
            </w:r>
          </w:p>
        </w:tc>
        <w:tc>
          <w:tcPr>
            <w:tcW w:type="dxa" w:w="3968"/>
            <w:shd w:fill="F7F8FA" w:color="auto" w:val="clear"/>
            <w:tcMar>
              <w:top w:type="dxa" w:w="60"/>
              <w:left w:type="dxa" w:w="100"/>
              <w:bottom w:type="dxa" w:w="60"/>
              <w:right w:type="dxa" w:w="100"/>
            </w:tcMar>
          </w:tcPr>
          <w:p>
            <w:pPr>
              <w:spacing w:after="20" w:before="20"/>
            </w:pPr>
            <w:r>
              <w:rPr>
                <w:sz w:val="19"/>
                <w:szCs w:val="19"/>
              </w:rPr>
              <w:t xml:space="preserve">E2E suite growth erodes pipeline speed</w:t>
            </w:r>
          </w:p>
        </w:tc>
        <w:tc>
          <w:tcPr>
            <w:tcW w:type="dxa" w:w="4271"/>
            <w:shd w:fill="F7F8FA" w:color="auto" w:val="clear"/>
            <w:tcMar>
              <w:top w:type="dxa" w:w="60"/>
              <w:left w:type="dxa" w:w="100"/>
              <w:bottom w:type="dxa" w:w="60"/>
              <w:right w:type="dxa" w:w="100"/>
            </w:tcMar>
          </w:tcPr>
          <w:p>
            <w:pPr>
              <w:spacing w:after="20" w:before="20"/>
            </w:pPr>
            <w:r>
              <w:rPr>
                <w:sz w:val="19"/>
                <w:szCs w:val="19"/>
              </w:rPr>
              <w:t xml:space="preserve">Hard cap of 45 tests; runtime budget enforced in CI</w:t>
            </w:r>
          </w:p>
        </w:tc>
      </w:tr>
      <w:tr>
        <w:tc>
          <w:tcPr>
            <w:tcW w:type="dxa" w:w="1507"/>
            <w:tcMar>
              <w:top w:type="dxa" w:w="60"/>
              <w:left w:type="dxa" w:w="100"/>
              <w:bottom w:type="dxa" w:w="60"/>
              <w:right w:type="dxa" w:w="100"/>
            </w:tcMar>
          </w:tcPr>
          <w:p>
            <w:pPr>
              <w:spacing w:after="20" w:before="20"/>
            </w:pPr>
            <w:r>
              <w:rPr>
                <w:sz w:val="19"/>
                <w:szCs w:val="19"/>
              </w:rPr>
              <w:t xml:space="preserve">Dependency</w:t>
            </w:r>
          </w:p>
        </w:tc>
        <w:tc>
          <w:tcPr>
            <w:tcW w:type="dxa" w:w="3968"/>
            <w:tcMar>
              <w:top w:type="dxa" w:w="60"/>
              <w:left w:type="dxa" w:w="100"/>
              <w:bottom w:type="dxa" w:w="60"/>
              <w:right w:type="dxa" w:w="100"/>
            </w:tcMar>
          </w:tcPr>
          <w:p>
            <w:pPr>
              <w:spacing w:after="20" w:before="20"/>
            </w:pPr>
            <w:r>
              <w:rPr>
                <w:sz w:val="19"/>
                <w:szCs w:val="19"/>
              </w:rPr>
              <w:t xml:space="preserve">Core banking sandbox availability window</w:t>
            </w:r>
          </w:p>
        </w:tc>
        <w:tc>
          <w:tcPr>
            <w:tcW w:type="dxa" w:w="4271"/>
            <w:tcMar>
              <w:top w:type="dxa" w:w="60"/>
              <w:left w:type="dxa" w:w="100"/>
              <w:bottom w:type="dxa" w:w="60"/>
              <w:right w:type="dxa" w:w="100"/>
            </w:tcMar>
          </w:tcPr>
          <w:p>
            <w:pPr>
              <w:spacing w:after="20" w:before="20"/>
            </w:pPr>
            <w:r>
              <w:rPr>
                <w:sz w:val="19"/>
                <w:szCs w:val="19"/>
              </w:rPr>
              <w:t xml:space="preserve">Service virtualisation for the inner loop; nightly runs scheduled in-window</w:t>
            </w:r>
          </w:p>
        </w:tc>
      </w:tr>
      <w:tr>
        <w:tc>
          <w:tcPr>
            <w:tcW w:type="dxa" w:w="1507"/>
            <w:shd w:fill="F7F8FA" w:color="auto" w:val="clear"/>
            <w:tcMar>
              <w:top w:type="dxa" w:w="60"/>
              <w:left w:type="dxa" w:w="100"/>
              <w:bottom w:type="dxa" w:w="60"/>
              <w:right w:type="dxa" w:w="100"/>
            </w:tcMar>
          </w:tcPr>
          <w:p>
            <w:pPr>
              <w:spacing w:after="20" w:before="20"/>
            </w:pPr>
            <w:r>
              <w:rPr>
                <w:sz w:val="19"/>
                <w:szCs w:val="19"/>
              </w:rPr>
              <w:t xml:space="preserve">Dependency</w:t>
            </w:r>
          </w:p>
        </w:tc>
        <w:tc>
          <w:tcPr>
            <w:tcW w:type="dxa" w:w="3968"/>
            <w:shd w:fill="F7F8FA" w:color="auto" w:val="clear"/>
            <w:tcMar>
              <w:top w:type="dxa" w:w="60"/>
              <w:left w:type="dxa" w:w="100"/>
              <w:bottom w:type="dxa" w:w="60"/>
              <w:right w:type="dxa" w:w="100"/>
            </w:tcMar>
          </w:tcPr>
          <w:p>
            <w:pPr>
              <w:spacing w:after="20" w:before="20"/>
            </w:pPr>
            <w:r>
              <w:rPr>
                <w:sz w:val="19"/>
                <w:szCs w:val="19"/>
              </w:rPr>
              <w:t xml:space="preserve">App store review turnaround (2–4 days)</w:t>
            </w:r>
          </w:p>
        </w:tc>
        <w:tc>
          <w:tcPr>
            <w:tcW w:type="dxa" w:w="4271"/>
            <w:shd w:fill="F7F8FA" w:color="auto" w:val="clear"/>
            <w:tcMar>
              <w:top w:type="dxa" w:w="60"/>
              <w:left w:type="dxa" w:w="100"/>
              <w:bottom w:type="dxa" w:w="60"/>
              <w:right w:type="dxa" w:w="100"/>
            </w:tcMar>
          </w:tcPr>
          <w:p>
            <w:pPr>
              <w:spacing w:after="20" w:before="20"/>
            </w:pPr>
            <w:r>
              <w:rPr>
                <w:sz w:val="19"/>
                <w:szCs w:val="19"/>
              </w:rPr>
              <w:t xml:space="preserve">Release candidate submitted three working days before target date</w:t>
            </w:r>
          </w:p>
        </w:tc>
      </w:tr>
      <w:tr>
        <w:tc>
          <w:tcPr>
            <w:tcW w:type="dxa" w:w="1507"/>
            <w:tcMar>
              <w:top w:type="dxa" w:w="60"/>
              <w:left w:type="dxa" w:w="100"/>
              <w:bottom w:type="dxa" w:w="60"/>
              <w:right w:type="dxa" w:w="100"/>
            </w:tcMar>
          </w:tcPr>
          <w:p>
            <w:pPr>
              <w:spacing w:after="20" w:before="20"/>
            </w:pPr>
            <w:r>
              <w:rPr>
                <w:sz w:val="19"/>
                <w:szCs w:val="19"/>
              </w:rPr>
              <w:t xml:space="preserve">Assumption</w:t>
            </w:r>
          </w:p>
        </w:tc>
        <w:tc>
          <w:tcPr>
            <w:tcW w:type="dxa" w:w="3968"/>
            <w:tcMar>
              <w:top w:type="dxa" w:w="60"/>
              <w:left w:type="dxa" w:w="100"/>
              <w:bottom w:type="dxa" w:w="60"/>
              <w:right w:type="dxa" w:w="100"/>
            </w:tcMar>
          </w:tcPr>
          <w:p>
            <w:pPr>
              <w:spacing w:after="20" w:before="20"/>
            </w:pPr>
            <w:r>
              <w:rPr>
                <w:sz w:val="19"/>
                <w:szCs w:val="19"/>
              </w:rPr>
              <w:t xml:space="preserve">Production observability is sufficient to detect issues within 15 minutes</w:t>
            </w:r>
          </w:p>
        </w:tc>
        <w:tc>
          <w:tcPr>
            <w:tcW w:type="dxa" w:w="4271"/>
            <w:tcMar>
              <w:top w:type="dxa" w:w="60"/>
              <w:left w:type="dxa" w:w="100"/>
              <w:bottom w:type="dxa" w:w="60"/>
              <w:right w:type="dxa" w:w="100"/>
            </w:tcMar>
          </w:tcPr>
          <w:p>
            <w:pPr>
              <w:spacing w:after="20" w:before="20"/>
            </w:pPr>
            <w:r>
              <w:rPr>
                <w:sz w:val="19"/>
                <w:szCs w:val="19"/>
              </w:rPr>
              <w:t xml:space="preserve">Validated quarterly through a game-day exercise</w:t>
            </w:r>
          </w:p>
        </w:tc>
      </w:tr>
      <w:tr>
        <w:tc>
          <w:tcPr>
            <w:tcW w:type="dxa" w:w="1507"/>
            <w:shd w:fill="F7F8FA" w:color="auto" w:val="clear"/>
            <w:tcMar>
              <w:top w:type="dxa" w:w="60"/>
              <w:left w:type="dxa" w:w="100"/>
              <w:bottom w:type="dxa" w:w="60"/>
              <w:right w:type="dxa" w:w="100"/>
            </w:tcMar>
          </w:tcPr>
          <w:p>
            <w:pPr>
              <w:spacing w:after="20" w:before="20"/>
            </w:pPr>
            <w:r>
              <w:rPr>
                <w:sz w:val="19"/>
                <w:szCs w:val="19"/>
              </w:rPr>
              <w:t xml:space="preserve">Constraint</w:t>
            </w:r>
          </w:p>
        </w:tc>
        <w:tc>
          <w:tcPr>
            <w:tcW w:type="dxa" w:w="3968"/>
            <w:shd w:fill="F7F8FA" w:color="auto" w:val="clear"/>
            <w:tcMar>
              <w:top w:type="dxa" w:w="60"/>
              <w:left w:type="dxa" w:w="100"/>
              <w:bottom w:type="dxa" w:w="60"/>
              <w:right w:type="dxa" w:w="100"/>
            </w:tcMar>
          </w:tcPr>
          <w:p>
            <w:pPr>
              <w:spacing w:after="20" w:before="20"/>
            </w:pPr>
            <w:r>
              <w:rPr>
                <w:sz w:val="19"/>
                <w:szCs w:val="19"/>
              </w:rPr>
              <w:t xml:space="preserve">Masked production data on staging is refreshed weekly only</w:t>
            </w:r>
          </w:p>
        </w:tc>
        <w:tc>
          <w:tcPr>
            <w:tcW w:type="dxa" w:w="4271"/>
            <w:shd w:fill="F7F8FA" w:color="auto" w:val="clear"/>
            <w:tcMar>
              <w:top w:type="dxa" w:w="60"/>
              <w:left w:type="dxa" w:w="100"/>
              <w:bottom w:type="dxa" w:w="60"/>
              <w:right w:type="dxa" w:w="100"/>
            </w:tcMar>
          </w:tcPr>
          <w:p>
            <w:pPr>
              <w:spacing w:after="20" w:before="20"/>
            </w:pPr>
            <w:r>
              <w:rPr>
                <w:sz w:val="19"/>
                <w:szCs w:val="19"/>
              </w:rPr>
              <w:t xml:space="preserve">Long-lived test scenarios must be re-establishable from synthetic seed data</w:t>
            </w:r>
          </w:p>
        </w:tc>
      </w:tr>
    </w:tbl>
    <w:p>
      <w:pPr>
        <w:spacing w:after="200"/>
      </w:pPr>
    </w:p>
    <w:p>
      <w:pPr>
        <w:pStyle w:val="Heading2"/>
        <w:keepNext/>
        <w:spacing w:after="140" w:before="320"/>
      </w:pPr>
      <w:r>
        <w:rPr>
          <w:b/>
          <w:bCs/>
          <w:color w:val="1F3864"/>
          <w:sz w:val="25"/>
          <w:szCs w:val="25"/>
        </w:rPr>
        <w:t xml:space="preserve">15. Approval</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2690"/>
        <w:gridCol w:w="4120"/>
        <w:gridCol w:w="2936"/>
      </w:tblGrid>
      <w:tr>
        <w:trPr>
          <w:tblHeader/>
        </w:trPr>
        <w:tc>
          <w:tcPr>
            <w:tcW w:type="dxa" w:w="2690"/>
            <w:shd w:fill="E7EBF3" w:color="auto" w:val="clear"/>
            <w:tcMar>
              <w:top w:type="dxa" w:w="60"/>
              <w:left w:type="dxa" w:w="100"/>
              <w:bottom w:type="dxa" w:w="60"/>
              <w:right w:type="dxa" w:w="100"/>
            </w:tcMar>
          </w:tcPr>
          <w:p>
            <w:pPr>
              <w:spacing w:after="20" w:before="20"/>
            </w:pPr>
            <w:r>
              <w:rPr>
                <w:b/>
                <w:bCs/>
                <w:color w:val="1F3864"/>
                <w:sz w:val="19"/>
                <w:szCs w:val="19"/>
              </w:rPr>
              <w:t xml:space="preserve">Name</w:t>
            </w:r>
          </w:p>
        </w:tc>
        <w:tc>
          <w:tcPr>
            <w:tcW w:type="dxa" w:w="4120"/>
            <w:shd w:fill="E7EBF3" w:color="auto" w:val="clear"/>
            <w:tcMar>
              <w:top w:type="dxa" w:w="60"/>
              <w:left w:type="dxa" w:w="100"/>
              <w:bottom w:type="dxa" w:w="60"/>
              <w:right w:type="dxa" w:w="100"/>
            </w:tcMar>
          </w:tcPr>
          <w:p>
            <w:pPr>
              <w:spacing w:after="20" w:before="20"/>
            </w:pPr>
            <w:r>
              <w:rPr>
                <w:b/>
                <w:bCs/>
                <w:color w:val="1F3864"/>
                <w:sz w:val="19"/>
                <w:szCs w:val="19"/>
              </w:rPr>
              <w:t xml:space="preserve">Role</w:t>
            </w:r>
          </w:p>
        </w:tc>
        <w:tc>
          <w:tcPr>
            <w:tcW w:type="dxa" w:w="2936"/>
            <w:shd w:fill="E7EBF3" w:color="auto" w:val="clear"/>
            <w:tcMar>
              <w:top w:type="dxa" w:w="60"/>
              <w:left w:type="dxa" w:w="100"/>
              <w:bottom w:type="dxa" w:w="60"/>
              <w:right w:type="dxa" w:w="100"/>
            </w:tcMar>
          </w:tcPr>
          <w:p>
            <w:pPr>
              <w:spacing w:after="20" w:before="20"/>
            </w:pPr>
            <w:r>
              <w:rPr>
                <w:b/>
                <w:bCs/>
                <w:color w:val="1F3864"/>
                <w:sz w:val="19"/>
                <w:szCs w:val="19"/>
              </w:rPr>
              <w:t xml:space="preserve">Date</w:t>
            </w:r>
          </w:p>
        </w:tc>
      </w:tr>
      <w:tr>
        <w:tc>
          <w:tcPr>
            <w:tcW w:type="dxa" w:w="2690"/>
            <w:tcMar>
              <w:top w:type="dxa" w:w="60"/>
              <w:left w:type="dxa" w:w="100"/>
              <w:bottom w:type="dxa" w:w="60"/>
              <w:right w:type="dxa" w:w="100"/>
            </w:tcMar>
          </w:tcPr>
          <w:p>
            <w:pPr>
              <w:spacing w:after="20" w:before="20"/>
            </w:pPr>
            <w:r>
              <w:rPr>
                <w:sz w:val="19"/>
                <w:szCs w:val="19"/>
              </w:rPr>
              <w:t xml:space="preserve">A. Kulkarni</w:t>
            </w:r>
          </w:p>
        </w:tc>
        <w:tc>
          <w:tcPr>
            <w:tcW w:type="dxa" w:w="4120"/>
            <w:tcMar>
              <w:top w:type="dxa" w:w="60"/>
              <w:left w:type="dxa" w:w="100"/>
              <w:bottom w:type="dxa" w:w="60"/>
              <w:right w:type="dxa" w:w="100"/>
            </w:tcMar>
          </w:tcPr>
          <w:p>
            <w:pPr>
              <w:spacing w:after="20" w:before="20"/>
            </w:pPr>
            <w:r>
              <w:rPr>
                <w:sz w:val="19"/>
                <w:szCs w:val="19"/>
              </w:rPr>
              <w:t xml:space="preserve">QA Lead (author)</w:t>
            </w:r>
          </w:p>
        </w:tc>
        <w:tc>
          <w:tcPr>
            <w:tcW w:type="dxa" w:w="2936"/>
            <w:tcMar>
              <w:top w:type="dxa" w:w="60"/>
              <w:left w:type="dxa" w:w="100"/>
              <w:bottom w:type="dxa" w:w="60"/>
              <w:right w:type="dxa" w:w="100"/>
            </w:tcMar>
          </w:tcPr>
          <w:p>
            <w:pPr>
              <w:spacing w:after="20" w:before="20"/>
            </w:pPr>
            <w:r>
              <w:rPr>
                <w:sz w:val="19"/>
                <w:szCs w:val="19"/>
              </w:rPr>
              <w:t xml:space="preserve">04-Sep-2026</w:t>
            </w:r>
          </w:p>
        </w:tc>
      </w:tr>
      <w:tr>
        <w:tc>
          <w:tcPr>
            <w:tcW w:type="dxa" w:w="2690"/>
            <w:shd w:fill="F7F8FA" w:color="auto" w:val="clear"/>
            <w:tcMar>
              <w:top w:type="dxa" w:w="60"/>
              <w:left w:type="dxa" w:w="100"/>
              <w:bottom w:type="dxa" w:w="60"/>
              <w:right w:type="dxa" w:w="100"/>
            </w:tcMar>
          </w:tcPr>
          <w:p>
            <w:pPr>
              <w:spacing w:after="20" w:before="20"/>
            </w:pPr>
            <w:r>
              <w:rPr>
                <w:sz w:val="19"/>
                <w:szCs w:val="19"/>
              </w:rPr>
              <w:t xml:space="preserve">R. Menon</w:t>
            </w:r>
          </w:p>
        </w:tc>
        <w:tc>
          <w:tcPr>
            <w:tcW w:type="dxa" w:w="4120"/>
            <w:shd w:fill="F7F8FA" w:color="auto" w:val="clear"/>
            <w:tcMar>
              <w:top w:type="dxa" w:w="60"/>
              <w:left w:type="dxa" w:w="100"/>
              <w:bottom w:type="dxa" w:w="60"/>
              <w:right w:type="dxa" w:w="100"/>
            </w:tcMar>
          </w:tcPr>
          <w:p>
            <w:pPr>
              <w:spacing w:after="20" w:before="20"/>
            </w:pPr>
            <w:r>
              <w:rPr>
                <w:sz w:val="19"/>
                <w:szCs w:val="19"/>
              </w:rPr>
              <w:t xml:space="preserve">Head of Engineering</w:t>
            </w:r>
          </w:p>
        </w:tc>
        <w:tc>
          <w:tcPr>
            <w:tcW w:type="dxa" w:w="2936"/>
            <w:shd w:fill="F7F8FA" w:color="auto" w:val="clear"/>
            <w:tcMar>
              <w:top w:type="dxa" w:w="60"/>
              <w:left w:type="dxa" w:w="100"/>
              <w:bottom w:type="dxa" w:w="60"/>
              <w:right w:type="dxa" w:w="100"/>
            </w:tcMar>
          </w:tcPr>
          <w:p>
            <w:pPr>
              <w:spacing w:after="20" w:before="20"/>
            </w:pPr>
            <w:r>
              <w:rPr>
                <w:sz w:val="19"/>
                <w:szCs w:val="19"/>
              </w:rPr>
              <w:t xml:space="preserve">09-Sep-2026</w:t>
            </w:r>
          </w:p>
        </w:tc>
      </w:tr>
      <w:tr>
        <w:tc>
          <w:tcPr>
            <w:tcW w:type="dxa" w:w="2690"/>
            <w:tcMar>
              <w:top w:type="dxa" w:w="60"/>
              <w:left w:type="dxa" w:w="100"/>
              <w:bottom w:type="dxa" w:w="60"/>
              <w:right w:type="dxa" w:w="100"/>
            </w:tcMar>
          </w:tcPr>
          <w:p>
            <w:pPr>
              <w:spacing w:after="20" w:before="20"/>
            </w:pPr>
            <w:r>
              <w:rPr>
                <w:sz w:val="19"/>
                <w:szCs w:val="19"/>
              </w:rPr>
              <w:t xml:space="preserve">S. Patil</w:t>
            </w:r>
          </w:p>
        </w:tc>
        <w:tc>
          <w:tcPr>
            <w:tcW w:type="dxa" w:w="4120"/>
            <w:tcMar>
              <w:top w:type="dxa" w:w="60"/>
              <w:left w:type="dxa" w:w="100"/>
              <w:bottom w:type="dxa" w:w="60"/>
              <w:right w:type="dxa" w:w="100"/>
            </w:tcMar>
          </w:tcPr>
          <w:p>
            <w:pPr>
              <w:spacing w:after="20" w:before="20"/>
            </w:pPr>
            <w:r>
              <w:rPr>
                <w:sz w:val="19"/>
                <w:szCs w:val="19"/>
              </w:rPr>
              <w:t xml:space="preserve">Product Director</w:t>
            </w:r>
          </w:p>
        </w:tc>
        <w:tc>
          <w:tcPr>
            <w:tcW w:type="dxa" w:w="2936"/>
            <w:tcMar>
              <w:top w:type="dxa" w:w="60"/>
              <w:left w:type="dxa" w:w="100"/>
              <w:bottom w:type="dxa" w:w="60"/>
              <w:right w:type="dxa" w:w="100"/>
            </w:tcMar>
          </w:tcPr>
          <w:p>
            <w:pPr>
              <w:spacing w:after="20" w:before="20"/>
            </w:pPr>
            <w:r>
              <w:rPr>
                <w:sz w:val="19"/>
                <w:szCs w:val="19"/>
              </w:rPr>
              <w:t xml:space="preserve">09-Sep-2026</w:t>
            </w:r>
          </w:p>
        </w:tc>
      </w:tr>
      <w:tr>
        <w:tc>
          <w:tcPr>
            <w:tcW w:type="dxa" w:w="2690"/>
            <w:shd w:fill="F7F8FA" w:color="auto" w:val="clear"/>
            <w:tcMar>
              <w:top w:type="dxa" w:w="60"/>
              <w:left w:type="dxa" w:w="100"/>
              <w:bottom w:type="dxa" w:w="60"/>
              <w:right w:type="dxa" w:w="100"/>
            </w:tcMar>
          </w:tcPr>
          <w:p>
            <w:pPr>
              <w:spacing w:after="20" w:before="20"/>
            </w:pPr>
            <w:r>
              <w:rPr>
                <w:sz w:val="19"/>
                <w:szCs w:val="19"/>
              </w:rPr>
              <w:t xml:space="preserve">D. Rao</w:t>
            </w:r>
          </w:p>
        </w:tc>
        <w:tc>
          <w:tcPr>
            <w:tcW w:type="dxa" w:w="4120"/>
            <w:shd w:fill="F7F8FA" w:color="auto" w:val="clear"/>
            <w:tcMar>
              <w:top w:type="dxa" w:w="60"/>
              <w:left w:type="dxa" w:w="100"/>
              <w:bottom w:type="dxa" w:w="60"/>
              <w:right w:type="dxa" w:w="100"/>
            </w:tcMar>
          </w:tcPr>
          <w:p>
            <w:pPr>
              <w:spacing w:after="20" w:before="20"/>
            </w:pPr>
            <w:r>
              <w:rPr>
                <w:sz w:val="19"/>
                <w:szCs w:val="19"/>
              </w:rPr>
              <w:t xml:space="preserve">Head of Information Security</w:t>
            </w:r>
          </w:p>
        </w:tc>
        <w:tc>
          <w:tcPr>
            <w:tcW w:type="dxa" w:w="2936"/>
            <w:shd w:fill="F7F8FA" w:color="auto" w:val="clear"/>
            <w:tcMar>
              <w:top w:type="dxa" w:w="60"/>
              <w:left w:type="dxa" w:w="100"/>
              <w:bottom w:type="dxa" w:w="60"/>
              <w:right w:type="dxa" w:w="100"/>
            </w:tcMar>
          </w:tcPr>
          <w:p>
            <w:pPr>
              <w:spacing w:after="20" w:before="20"/>
            </w:pPr>
            <w:r>
              <w:rPr>
                <w:sz w:val="19"/>
                <w:szCs w:val="19"/>
              </w:rPr>
              <w:t xml:space="preserve">11-Sep-2026</w:t>
            </w:r>
          </w:p>
        </w:tc>
      </w:tr>
    </w:tbl>
    <w:p>
      <w:pPr>
        <w:spacing w:after="200"/>
      </w:pPr>
    </w:p>
    <w:p>
      <w:pPr>
        <w:pStyle w:val="Heading2"/>
        <w:keepNext/>
        <w:spacing w:after="140" w:before="320"/>
      </w:pPr>
      <w:r>
        <w:rPr>
          <w:b/>
          <w:bCs/>
          <w:color w:val="1F3864"/>
          <w:sz w:val="25"/>
          <w:szCs w:val="25"/>
        </w:rPr>
        <w:t xml:space="preserve">Appendix A — Exploratory Test Charter Format</w:t>
      </w:r>
    </w:p>
    <w:p>
      <w:pPr>
        <w:pBdr>
          <w:left w:val="single" w:color="1F3864" w:sz="12" w:space="10"/>
        </w:pBdr>
        <w:spacing w:after="40" w:before="40"/>
        <w:ind w:left="400"/>
      </w:pPr>
      <w:r>
        <w:rPr>
          <w:b/>
          <w:bCs/>
          <w:i/>
          <w:iCs/>
          <w:color w:val="404040"/>
          <w:sz w:val="20"/>
          <w:szCs w:val="20"/>
        </w:rPr>
        <w:t xml:space="preserve">Explore</w:t>
      </w:r>
      <w:r>
        <w:rPr>
          <w:i/>
          <w:iCs/>
          <w:color w:val="404040"/>
          <w:sz w:val="20"/>
          <w:szCs w:val="20"/>
        </w:rPr>
        <w:t xml:space="preserve"> </w:t>
      </w:r>
      <w:r>
        <w:rPr>
          <w:rFonts w:ascii="Consolas" w:cs="Consolas" w:eastAsia="Consolas" w:hAnsi="Consolas"/>
          <w:i/>
          <w:iCs/>
          <w:color w:val="404040"/>
          <w:sz w:val="19"/>
          <w:szCs w:val="19"/>
        </w:rPr>
        <w:t xml:space="preserve">[area or feature]</w:t>
      </w:r>
    </w:p>
    <w:p>
      <w:pPr>
        <w:pBdr>
          <w:left w:val="single" w:color="1F3864" w:sz="12" w:space="10"/>
        </w:pBdr>
        <w:spacing w:after="40" w:before="40"/>
        <w:ind w:left="400"/>
      </w:pPr>
      <w:r>
        <w:rPr>
          <w:b/>
          <w:bCs/>
          <w:i/>
          <w:iCs/>
          <w:color w:val="404040"/>
          <w:sz w:val="20"/>
          <w:szCs w:val="20"/>
        </w:rPr>
        <w:t xml:space="preserve">With</w:t>
      </w:r>
      <w:r>
        <w:rPr>
          <w:i/>
          <w:iCs/>
          <w:color w:val="404040"/>
          <w:sz w:val="20"/>
          <w:szCs w:val="20"/>
        </w:rPr>
        <w:t xml:space="preserve"> </w:t>
      </w:r>
      <w:r>
        <w:rPr>
          <w:rFonts w:ascii="Consolas" w:cs="Consolas" w:eastAsia="Consolas" w:hAnsi="Consolas"/>
          <w:i/>
          <w:iCs/>
          <w:color w:val="404040"/>
          <w:sz w:val="19"/>
          <w:szCs w:val="19"/>
        </w:rPr>
        <w:t xml:space="preserve">[resources, data, tooling, personas]</w:t>
      </w:r>
    </w:p>
    <w:p>
      <w:pPr>
        <w:pBdr>
          <w:left w:val="single" w:color="1F3864" w:sz="12" w:space="10"/>
        </w:pBdr>
        <w:spacing w:after="40" w:before="40"/>
        <w:ind w:left="400"/>
      </w:pPr>
      <w:r>
        <w:rPr>
          <w:b/>
          <w:bCs/>
          <w:i/>
          <w:iCs/>
          <w:color w:val="404040"/>
          <w:sz w:val="20"/>
          <w:szCs w:val="20"/>
        </w:rPr>
        <w:t xml:space="preserve">To discover</w:t>
      </w:r>
      <w:r>
        <w:rPr>
          <w:i/>
          <w:iCs/>
          <w:color w:val="404040"/>
          <w:sz w:val="20"/>
          <w:szCs w:val="20"/>
        </w:rPr>
        <w:t xml:space="preserve"> </w:t>
      </w:r>
      <w:r>
        <w:rPr>
          <w:rFonts w:ascii="Consolas" w:cs="Consolas" w:eastAsia="Consolas" w:hAnsi="Consolas"/>
          <w:i/>
          <w:iCs/>
          <w:color w:val="404040"/>
          <w:sz w:val="19"/>
          <w:szCs w:val="19"/>
        </w:rPr>
        <w:t xml:space="preserve">[information about risk]</w:t>
      </w:r>
    </w:p>
    <w:p>
      <w:pPr>
        <w:pBdr>
          <w:left w:val="single" w:color="1F3864" w:sz="12" w:space="10"/>
        </w:pBdr>
        <w:spacing w:after="40" w:before="40"/>
        <w:ind w:left="400"/>
      </w:pPr>
      <w:r>
        <w:rPr>
          <w:b/>
          <w:bCs/>
          <w:i/>
          <w:iCs/>
          <w:color w:val="404040"/>
          <w:sz w:val="20"/>
          <w:szCs w:val="20"/>
        </w:rPr>
        <w:t xml:space="preserve">Timebox</w:t>
      </w:r>
      <w:r>
        <w:rPr>
          <w:i/>
          <w:iCs/>
          <w:color w:val="404040"/>
          <w:sz w:val="20"/>
          <w:szCs w:val="20"/>
        </w:rPr>
        <w:t xml:space="preserve"> </w:t>
      </w:r>
      <w:r>
        <w:rPr>
          <w:rFonts w:ascii="Consolas" w:cs="Consolas" w:eastAsia="Consolas" w:hAnsi="Consolas"/>
          <w:i/>
          <w:iCs/>
          <w:color w:val="404040"/>
          <w:sz w:val="19"/>
          <w:szCs w:val="19"/>
        </w:rPr>
        <w:t xml:space="preserve">[45 / 60 / 90 minutes]</w:t>
      </w:r>
    </w:p>
    <w:p>
      <w:pPr>
        <w:pBdr>
          <w:left w:val="single" w:color="1F3864" w:sz="12" w:space="10"/>
        </w:pBdr>
        <w:spacing w:after="40" w:before="40"/>
        <w:ind w:left="400"/>
      </w:pPr>
      <w:r>
        <w:rPr>
          <w:b/>
          <w:bCs/>
          <w:i/>
          <w:iCs/>
          <w:color w:val="404040"/>
          <w:sz w:val="20"/>
          <w:szCs w:val="20"/>
        </w:rPr>
        <w:t xml:space="preserve">Notes</w:t>
      </w:r>
      <w:r>
        <w:rPr>
          <w:i/>
          <w:iCs/>
          <w:color w:val="404040"/>
          <w:sz w:val="20"/>
          <w:szCs w:val="20"/>
        </w:rPr>
        <w:t xml:space="preserve"> </w:t>
      </w:r>
      <w:r>
        <w:rPr>
          <w:rFonts w:ascii="Consolas" w:cs="Consolas" w:eastAsia="Consolas" w:hAnsi="Consolas"/>
          <w:i/>
          <w:iCs/>
          <w:color w:val="404040"/>
          <w:sz w:val="19"/>
          <w:szCs w:val="19"/>
        </w:rPr>
        <w:t xml:space="preserve">[observations, questions, bugs raised, follow-up charters]</w:t>
      </w:r>
    </w:p>
    <w:p>
      <w:pPr>
        <w:spacing w:after="160"/>
      </w:pPr>
    </w:p>
    <w:p>
      <w:pPr>
        <w:spacing w:after="120" w:before="60" w:line="280"/>
      </w:pPr>
      <w:r>
        <w:rPr>
          <w:i/>
          <w:iCs/>
          <w:sz w:val="21"/>
          <w:szCs w:val="21"/>
        </w:rPr>
        <w:t xml:space="preserve">Example:</w:t>
      </w:r>
      <w:r>
        <w:rPr>
          <w:sz w:val="21"/>
          <w:szCs w:val="21"/>
        </w:rPr>
        <w:t xml:space="preserve"> Explore international payment limits with a persona holding a GBP account and a low daily limit, to discover how the app behaves when a payment is rejected mid-flow by the processor. Timebox 60 minutes.</w:t>
      </w:r>
    </w:p>
    <w:p>
      <w:pPr>
        <w:pStyle w:val="Heading2"/>
        <w:keepNext/>
        <w:spacing w:after="140" w:before="320"/>
      </w:pPr>
      <w:r>
        <w:rPr>
          <w:b/>
          <w:bCs/>
          <w:color w:val="1F3864"/>
          <w:sz w:val="25"/>
          <w:szCs w:val="25"/>
        </w:rPr>
        <w:t xml:space="preserve">Appendix B — Glossary</w:t>
      </w:r>
    </w:p>
    <w:tbl>
      <w:tblPr>
        <w:tblW w:type="dxa" w:w="9746"/>
        <w:tblBorders>
          <w:top w:val="single" w:color="C7CDD9" w:sz="2"/>
          <w:left w:val="single" w:color="C7CDD9" w:sz="2"/>
          <w:bottom w:val="single" w:color="C7CDD9" w:sz="2"/>
          <w:right w:val="single" w:color="C7CDD9" w:sz="2"/>
          <w:insideH w:val="single" w:color="C7CDD9" w:sz="2"/>
          <w:insideV w:val="single" w:color="C7CDD9" w:sz="2"/>
        </w:tblBorders>
      </w:tblPr>
      <w:tblGrid>
        <w:gridCol w:w="2903"/>
        <w:gridCol w:w="6843"/>
      </w:tblGrid>
      <w:tr>
        <w:trPr>
          <w:tblHeader/>
        </w:trPr>
        <w:tc>
          <w:tcPr>
            <w:tcW w:type="dxa" w:w="2903"/>
            <w:shd w:fill="E7EBF3" w:color="auto" w:val="clear"/>
            <w:tcMar>
              <w:top w:type="dxa" w:w="60"/>
              <w:left w:type="dxa" w:w="100"/>
              <w:bottom w:type="dxa" w:w="60"/>
              <w:right w:type="dxa" w:w="100"/>
            </w:tcMar>
          </w:tcPr>
          <w:p>
            <w:pPr>
              <w:spacing w:after="20" w:before="20"/>
            </w:pPr>
            <w:r>
              <w:rPr>
                <w:b/>
                <w:bCs/>
                <w:color w:val="1F3864"/>
                <w:sz w:val="19"/>
                <w:szCs w:val="19"/>
              </w:rPr>
              <w:t xml:space="preserve">Term</w:t>
            </w:r>
          </w:p>
        </w:tc>
        <w:tc>
          <w:tcPr>
            <w:tcW w:type="dxa" w:w="6843"/>
            <w:shd w:fill="E7EBF3" w:color="auto" w:val="clear"/>
            <w:tcMar>
              <w:top w:type="dxa" w:w="60"/>
              <w:left w:type="dxa" w:w="100"/>
              <w:bottom w:type="dxa" w:w="60"/>
              <w:right w:type="dxa" w:w="100"/>
            </w:tcMar>
          </w:tcPr>
          <w:p>
            <w:pPr>
              <w:spacing w:after="20" w:before="20"/>
            </w:pPr>
            <w:r>
              <w:rPr>
                <w:b/>
                <w:bCs/>
                <w:color w:val="1F3864"/>
                <w:sz w:val="19"/>
                <w:szCs w:val="19"/>
              </w:rPr>
              <w:t xml:space="preserve">Meaning</w:t>
            </w:r>
          </w:p>
        </w:tc>
      </w:tr>
      <w:tr>
        <w:tc>
          <w:tcPr>
            <w:tcW w:type="dxa" w:w="2903"/>
            <w:tcMar>
              <w:top w:type="dxa" w:w="60"/>
              <w:left w:type="dxa" w:w="100"/>
              <w:bottom w:type="dxa" w:w="60"/>
              <w:right w:type="dxa" w:w="100"/>
            </w:tcMar>
          </w:tcPr>
          <w:p>
            <w:pPr>
              <w:spacing w:after="20" w:before="20"/>
            </w:pPr>
            <w:r>
              <w:rPr>
                <w:sz w:val="19"/>
                <w:szCs w:val="19"/>
              </w:rPr>
              <w:t xml:space="preserve">BFF</w:t>
            </w:r>
          </w:p>
        </w:tc>
        <w:tc>
          <w:tcPr>
            <w:tcW w:type="dxa" w:w="6843"/>
            <w:tcMar>
              <w:top w:type="dxa" w:w="60"/>
              <w:left w:type="dxa" w:w="100"/>
              <w:bottom w:type="dxa" w:w="60"/>
              <w:right w:type="dxa" w:w="100"/>
            </w:tcMar>
          </w:tcPr>
          <w:p>
            <w:pPr>
              <w:spacing w:after="20" w:before="20"/>
            </w:pPr>
            <w:r>
              <w:rPr>
                <w:sz w:val="19"/>
                <w:szCs w:val="19"/>
              </w:rPr>
              <w:t xml:space="preserve">Backend-for-Frontend; an API layer shaped to a specific client</w:t>
            </w:r>
          </w:p>
        </w:tc>
      </w:tr>
      <w:tr>
        <w:tc>
          <w:tcPr>
            <w:tcW w:type="dxa" w:w="2903"/>
            <w:shd w:fill="F7F8FA" w:color="auto" w:val="clear"/>
            <w:tcMar>
              <w:top w:type="dxa" w:w="60"/>
              <w:left w:type="dxa" w:w="100"/>
              <w:bottom w:type="dxa" w:w="60"/>
              <w:right w:type="dxa" w:w="100"/>
            </w:tcMar>
          </w:tcPr>
          <w:p>
            <w:pPr>
              <w:spacing w:after="20" w:before="20"/>
            </w:pPr>
            <w:r>
              <w:rPr>
                <w:sz w:val="19"/>
                <w:szCs w:val="19"/>
              </w:rPr>
              <w:t xml:space="preserve">Contract test</w:t>
            </w:r>
          </w:p>
        </w:tc>
        <w:tc>
          <w:tcPr>
            <w:tcW w:type="dxa" w:w="6843"/>
            <w:shd w:fill="F7F8FA" w:color="auto" w:val="clear"/>
            <w:tcMar>
              <w:top w:type="dxa" w:w="60"/>
              <w:left w:type="dxa" w:w="100"/>
              <w:bottom w:type="dxa" w:w="60"/>
              <w:right w:type="dxa" w:w="100"/>
            </w:tcMar>
          </w:tcPr>
          <w:p>
            <w:pPr>
              <w:spacing w:after="20" w:before="20"/>
            </w:pPr>
            <w:r>
              <w:rPr>
                <w:sz w:val="19"/>
                <w:szCs w:val="19"/>
              </w:rPr>
              <w:t xml:space="preserve">A test verifying that a producer and consumer agree on an interface, without running both together</w:t>
            </w:r>
          </w:p>
        </w:tc>
      </w:tr>
      <w:tr>
        <w:tc>
          <w:tcPr>
            <w:tcW w:type="dxa" w:w="2903"/>
            <w:tcMar>
              <w:top w:type="dxa" w:w="60"/>
              <w:left w:type="dxa" w:w="100"/>
              <w:bottom w:type="dxa" w:w="60"/>
              <w:right w:type="dxa" w:w="100"/>
            </w:tcMar>
          </w:tcPr>
          <w:p>
            <w:pPr>
              <w:spacing w:after="20" w:before="20"/>
            </w:pPr>
            <w:r>
              <w:rPr>
                <w:sz w:val="19"/>
                <w:szCs w:val="19"/>
              </w:rPr>
              <w:t xml:space="preserve">DoD</w:t>
            </w:r>
          </w:p>
        </w:tc>
        <w:tc>
          <w:tcPr>
            <w:tcW w:type="dxa" w:w="6843"/>
            <w:tcMar>
              <w:top w:type="dxa" w:w="60"/>
              <w:left w:type="dxa" w:w="100"/>
              <w:bottom w:type="dxa" w:w="60"/>
              <w:right w:type="dxa" w:w="100"/>
            </w:tcMar>
          </w:tcPr>
          <w:p>
            <w:pPr>
              <w:spacing w:after="20" w:before="20"/>
            </w:pPr>
            <w:r>
              <w:rPr>
                <w:sz w:val="19"/>
                <w:szCs w:val="19"/>
              </w:rPr>
              <w:t xml:space="preserve">Definition of Done</w:t>
            </w:r>
          </w:p>
        </w:tc>
      </w:tr>
      <w:tr>
        <w:tc>
          <w:tcPr>
            <w:tcW w:type="dxa" w:w="2903"/>
            <w:shd w:fill="F7F8FA" w:color="auto" w:val="clear"/>
            <w:tcMar>
              <w:top w:type="dxa" w:w="60"/>
              <w:left w:type="dxa" w:w="100"/>
              <w:bottom w:type="dxa" w:w="60"/>
              <w:right w:type="dxa" w:w="100"/>
            </w:tcMar>
          </w:tcPr>
          <w:p>
            <w:pPr>
              <w:spacing w:after="20" w:before="20"/>
            </w:pPr>
            <w:r>
              <w:rPr>
                <w:sz w:val="19"/>
                <w:szCs w:val="19"/>
              </w:rPr>
              <w:t xml:space="preserve">Quarantine</w:t>
            </w:r>
          </w:p>
        </w:tc>
        <w:tc>
          <w:tcPr>
            <w:tcW w:type="dxa" w:w="6843"/>
            <w:shd w:fill="F7F8FA" w:color="auto" w:val="clear"/>
            <w:tcMar>
              <w:top w:type="dxa" w:w="60"/>
              <w:left w:type="dxa" w:w="100"/>
              <w:bottom w:type="dxa" w:w="60"/>
              <w:right w:type="dxa" w:w="100"/>
            </w:tcMar>
          </w:tcPr>
          <w:p>
            <w:pPr>
              <w:spacing w:after="20" w:before="20"/>
            </w:pPr>
            <w:r>
              <w:rPr>
                <w:sz w:val="19"/>
                <w:szCs w:val="19"/>
              </w:rPr>
              <w:t xml:space="preserve">Automatic exclusion of a flaky test from the blocking pipeline, pending fix or deletion</w:t>
            </w:r>
          </w:p>
        </w:tc>
      </w:tr>
      <w:tr>
        <w:tc>
          <w:tcPr>
            <w:tcW w:type="dxa" w:w="2903"/>
            <w:tcMar>
              <w:top w:type="dxa" w:w="60"/>
              <w:left w:type="dxa" w:w="100"/>
              <w:bottom w:type="dxa" w:w="60"/>
              <w:right w:type="dxa" w:w="100"/>
            </w:tcMar>
          </w:tcPr>
          <w:p>
            <w:pPr>
              <w:spacing w:after="20" w:before="20"/>
            </w:pPr>
            <w:r>
              <w:rPr>
                <w:sz w:val="19"/>
                <w:szCs w:val="19"/>
              </w:rPr>
              <w:t xml:space="preserve">SCA</w:t>
            </w:r>
          </w:p>
        </w:tc>
        <w:tc>
          <w:tcPr>
            <w:tcW w:type="dxa" w:w="6843"/>
            <w:tcMar>
              <w:top w:type="dxa" w:w="60"/>
              <w:left w:type="dxa" w:w="100"/>
              <w:bottom w:type="dxa" w:w="60"/>
              <w:right w:type="dxa" w:w="100"/>
            </w:tcMar>
          </w:tcPr>
          <w:p>
            <w:pPr>
              <w:spacing w:after="20" w:before="20"/>
            </w:pPr>
            <w:r>
              <w:rPr>
                <w:sz w:val="19"/>
                <w:szCs w:val="19"/>
              </w:rPr>
              <w:t xml:space="preserve">Strong Customer Authentication</w:t>
            </w:r>
          </w:p>
        </w:tc>
      </w:tr>
      <w:tr>
        <w:tc>
          <w:tcPr>
            <w:tcW w:type="dxa" w:w="2903"/>
            <w:shd w:fill="F7F8FA" w:color="auto" w:val="clear"/>
            <w:tcMar>
              <w:top w:type="dxa" w:w="60"/>
              <w:left w:type="dxa" w:w="100"/>
              <w:bottom w:type="dxa" w:w="60"/>
              <w:right w:type="dxa" w:w="100"/>
            </w:tcMar>
          </w:tcPr>
          <w:p>
            <w:pPr>
              <w:spacing w:after="20" w:before="20"/>
            </w:pPr>
            <w:r>
              <w:rPr>
                <w:sz w:val="19"/>
                <w:szCs w:val="19"/>
              </w:rPr>
              <w:t xml:space="preserve">Service virtualisation</w:t>
            </w:r>
          </w:p>
        </w:tc>
        <w:tc>
          <w:tcPr>
            <w:tcW w:type="dxa" w:w="6843"/>
            <w:shd w:fill="F7F8FA" w:color="auto" w:val="clear"/>
            <w:tcMar>
              <w:top w:type="dxa" w:w="60"/>
              <w:left w:type="dxa" w:w="100"/>
              <w:bottom w:type="dxa" w:w="60"/>
              <w:right w:type="dxa" w:w="100"/>
            </w:tcMar>
          </w:tcPr>
          <w:p>
            <w:pPr>
              <w:spacing w:after="20" w:before="20"/>
            </w:pPr>
            <w:r>
              <w:rPr>
                <w:sz w:val="19"/>
                <w:szCs w:val="19"/>
              </w:rPr>
              <w:t xml:space="preserve">Simulating a dependency's behaviour so testing can proceed without it</w:t>
            </w:r>
          </w:p>
        </w:tc>
      </w:tr>
    </w:tbl>
    <w:p>
      <w:pPr>
        <w:spacing w:after="200"/>
      </w:pP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00" w:hanging="360"/>
      </w:pPr>
    </w:lvl>
  </w:abstractNum>
  <w:abstractNum w:abstractNumId="3" w15:restartNumberingAfterBreak="0">
    <w:multiLevelType w:val="hybridMultilevel"/>
    <w:lvl w:ilvl="0" w15:tentative="1">
      <w:start w:val="1"/>
      <w:numFmt w:val="decimal"/>
      <w:lvlText w:val="%1."/>
      <w:lvlJc w:val="start"/>
      <w:pPr>
        <w:ind w:left="70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Test Strategy for an Agile Project</dc:title>
  <dc:creator>Claude</dc:creator>
  <cp:lastModifiedBy>Un-named</cp:lastModifiedBy>
  <cp:revision>1</cp:revision>
  <dcterms:created xsi:type="dcterms:W3CDTF">2026-09-17T06:10:09.688Z</dcterms:created>
  <dcterms:modified xsi:type="dcterms:W3CDTF">2026-09-17T06:10:09.689Z</dcterms:modified>
</cp:coreProperties>
</file>

<file path=docProps/custom.xml><?xml version="1.0" encoding="utf-8"?>
<Properties xmlns="http://schemas.openxmlformats.org/officeDocument/2006/custom-properties" xmlns:vt="http://schemas.openxmlformats.org/officeDocument/2006/docPropsVTypes"/>
</file>